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646B" w14:textId="77777777" w:rsidR="00C04E88" w:rsidRPr="00C04E88" w:rsidRDefault="00C04E88" w:rsidP="00C04E88">
      <w:pPr>
        <w:spacing w:after="0" w:line="240" w:lineRule="auto"/>
        <w:jc w:val="center"/>
        <w:rPr>
          <w:rFonts w:ascii="Arial" w:eastAsia="MS Mincho" w:hAnsi="Arial" w:cs="Arial"/>
          <w:b/>
          <w:kern w:val="0"/>
          <w:sz w:val="28"/>
          <w:szCs w:val="28"/>
          <w14:ligatures w14:val="none"/>
        </w:rPr>
      </w:pPr>
      <w:bookmarkStart w:id="0" w:name="_Hlk199493023"/>
      <w:r w:rsidRPr="00C04E88">
        <w:rPr>
          <w:rFonts w:ascii="Arial" w:eastAsia="MS Mincho" w:hAnsi="Arial" w:cs="Arial"/>
          <w:b/>
          <w:kern w:val="0"/>
          <w:sz w:val="28"/>
          <w:szCs w:val="28"/>
          <w14:ligatures w14:val="none"/>
        </w:rPr>
        <w:t>San Joaquin County Employees’ Retirement Association (SJCERA)</w:t>
      </w:r>
    </w:p>
    <w:p w14:paraId="2E9E14D8" w14:textId="77777777" w:rsidR="00C04E88" w:rsidRPr="00C04E88" w:rsidRDefault="00C04E88" w:rsidP="00C04E88">
      <w:pPr>
        <w:spacing w:after="0" w:line="240" w:lineRule="auto"/>
        <w:jc w:val="center"/>
        <w:rPr>
          <w:rFonts w:ascii="Arial" w:eastAsia="MS Mincho" w:hAnsi="Arial" w:cs="Arial"/>
          <w:kern w:val="0"/>
          <w:sz w:val="20"/>
          <w:szCs w:val="20"/>
          <w14:ligatures w14:val="none"/>
        </w:rPr>
      </w:pPr>
    </w:p>
    <w:p w14:paraId="01927040" w14:textId="47514535" w:rsidR="00C04E88" w:rsidRPr="00C04E88" w:rsidRDefault="00C04E88" w:rsidP="00C04E88">
      <w:pPr>
        <w:spacing w:after="0" w:line="240" w:lineRule="auto"/>
        <w:jc w:val="center"/>
        <w:rPr>
          <w:rFonts w:ascii="Arial" w:eastAsia="MS Mincho" w:hAnsi="Arial" w:cs="Arial"/>
          <w:b/>
          <w:kern w:val="0"/>
          <w14:ligatures w14:val="none"/>
        </w:rPr>
      </w:pPr>
      <w:r w:rsidRPr="00C04E88">
        <w:rPr>
          <w:rFonts w:ascii="Arial" w:eastAsia="MS Mincho" w:hAnsi="Arial" w:cs="Arial"/>
          <w:b/>
          <w:kern w:val="0"/>
          <w14:ligatures w14:val="none"/>
        </w:rPr>
        <w:t>Request for Proposal No. 20</w:t>
      </w:r>
      <w:r>
        <w:rPr>
          <w:rFonts w:ascii="Arial" w:eastAsia="MS Mincho" w:hAnsi="Arial" w:cs="Arial"/>
          <w:b/>
          <w:kern w:val="0"/>
          <w14:ligatures w14:val="none"/>
        </w:rPr>
        <w:t>25</w:t>
      </w:r>
      <w:r w:rsidRPr="00C04E88">
        <w:rPr>
          <w:rFonts w:ascii="Arial" w:eastAsia="MS Mincho" w:hAnsi="Arial" w:cs="Arial"/>
          <w:b/>
          <w:kern w:val="0"/>
          <w14:ligatures w14:val="none"/>
        </w:rPr>
        <w:t>-01</w:t>
      </w:r>
    </w:p>
    <w:p w14:paraId="69E8E931" w14:textId="77777777" w:rsidR="00C04E88" w:rsidRPr="00C04E88" w:rsidRDefault="00C04E88" w:rsidP="00C04E88">
      <w:pPr>
        <w:spacing w:after="0" w:line="240" w:lineRule="auto"/>
        <w:jc w:val="center"/>
        <w:rPr>
          <w:rFonts w:ascii="Arial" w:eastAsia="MS Mincho" w:hAnsi="Arial" w:cs="Arial"/>
          <w:b/>
          <w:kern w:val="0"/>
          <w14:ligatures w14:val="none"/>
        </w:rPr>
      </w:pPr>
      <w:r w:rsidRPr="00C04E88">
        <w:rPr>
          <w:rFonts w:ascii="Arial" w:eastAsia="MS Mincho" w:hAnsi="Arial" w:cs="Arial"/>
          <w:b/>
          <w:kern w:val="0"/>
          <w14:ligatures w14:val="none"/>
        </w:rPr>
        <w:t>Actuary Consulting Services</w:t>
      </w:r>
    </w:p>
    <w:p w14:paraId="2746E182" w14:textId="77777777" w:rsidR="00C04E88" w:rsidRPr="00C04E88" w:rsidRDefault="00C04E88" w:rsidP="00C04E88">
      <w:pPr>
        <w:spacing w:after="0" w:line="240" w:lineRule="auto"/>
        <w:jc w:val="center"/>
        <w:rPr>
          <w:rFonts w:ascii="Arial" w:eastAsia="MS Mincho" w:hAnsi="Arial" w:cs="Arial"/>
          <w:b/>
          <w:kern w:val="0"/>
          <w:sz w:val="20"/>
          <w:szCs w:val="20"/>
          <w14:ligatures w14:val="none"/>
        </w:rPr>
      </w:pPr>
    </w:p>
    <w:p w14:paraId="6545FBF6" w14:textId="77777777" w:rsidR="00C04E88" w:rsidRPr="00C04E88" w:rsidRDefault="00C04E88" w:rsidP="00C04E88">
      <w:pPr>
        <w:spacing w:after="0" w:line="240" w:lineRule="auto"/>
        <w:jc w:val="center"/>
        <w:rPr>
          <w:rFonts w:ascii="Arial" w:eastAsia="MS Mincho" w:hAnsi="Arial" w:cs="Arial"/>
          <w:b/>
          <w:kern w:val="0"/>
          <w14:ligatures w14:val="none"/>
        </w:rPr>
      </w:pPr>
      <w:r w:rsidRPr="00C04E88">
        <w:rPr>
          <w:rFonts w:ascii="Arial" w:eastAsia="MS Mincho" w:hAnsi="Arial" w:cs="Arial"/>
          <w:b/>
          <w:kern w:val="0"/>
          <w14:ligatures w14:val="none"/>
        </w:rPr>
        <w:t>Response to Questions from Potential Proposers</w:t>
      </w:r>
    </w:p>
    <w:p w14:paraId="48DFEE00" w14:textId="0C0FB6BF" w:rsidR="00C04E88" w:rsidRPr="00C04E88" w:rsidRDefault="00C04E88" w:rsidP="00C04E88">
      <w:pPr>
        <w:spacing w:after="0" w:line="240" w:lineRule="auto"/>
        <w:jc w:val="center"/>
        <w:rPr>
          <w:rFonts w:ascii="Arial" w:eastAsia="MS Mincho" w:hAnsi="Arial" w:cs="Arial"/>
          <w:b/>
          <w:kern w:val="0"/>
          <w14:ligatures w14:val="none"/>
        </w:rPr>
      </w:pPr>
      <w:r>
        <w:rPr>
          <w:rFonts w:ascii="Arial" w:eastAsia="MS Mincho" w:hAnsi="Arial" w:cs="Arial"/>
          <w:b/>
          <w:kern w:val="0"/>
          <w14:ligatures w14:val="none"/>
        </w:rPr>
        <w:t>June</w:t>
      </w:r>
      <w:r w:rsidRPr="00C04E88">
        <w:rPr>
          <w:rFonts w:ascii="Arial" w:eastAsia="MS Mincho" w:hAnsi="Arial" w:cs="Arial"/>
          <w:b/>
          <w:kern w:val="0"/>
          <w14:ligatures w14:val="none"/>
        </w:rPr>
        <w:t xml:space="preserve"> </w:t>
      </w:r>
      <w:r w:rsidR="005E07D3">
        <w:rPr>
          <w:rFonts w:ascii="Arial" w:eastAsia="MS Mincho" w:hAnsi="Arial" w:cs="Arial"/>
          <w:b/>
          <w:kern w:val="0"/>
          <w14:ligatures w14:val="none"/>
        </w:rPr>
        <w:t>6</w:t>
      </w:r>
      <w:r>
        <w:rPr>
          <w:rFonts w:ascii="Arial" w:eastAsia="MS Mincho" w:hAnsi="Arial" w:cs="Arial"/>
          <w:b/>
          <w:kern w:val="0"/>
          <w14:ligatures w14:val="none"/>
        </w:rPr>
        <w:t>,</w:t>
      </w:r>
      <w:r w:rsidRPr="00C04E88">
        <w:rPr>
          <w:rFonts w:ascii="Arial" w:eastAsia="MS Mincho" w:hAnsi="Arial" w:cs="Arial"/>
          <w:b/>
          <w:kern w:val="0"/>
          <w14:ligatures w14:val="none"/>
        </w:rPr>
        <w:t xml:space="preserve"> 20</w:t>
      </w:r>
      <w:r>
        <w:rPr>
          <w:rFonts w:ascii="Arial" w:eastAsia="MS Mincho" w:hAnsi="Arial" w:cs="Arial"/>
          <w:b/>
          <w:kern w:val="0"/>
          <w14:ligatures w14:val="none"/>
        </w:rPr>
        <w:t>25</w:t>
      </w:r>
    </w:p>
    <w:p w14:paraId="2CF52157" w14:textId="77777777" w:rsidR="00C04E88" w:rsidRDefault="00C04E88" w:rsidP="00035D60">
      <w:pPr>
        <w:rPr>
          <w:rFonts w:ascii="Arial" w:hAnsi="Arial" w:cs="Arial"/>
          <w:u w:val="single"/>
        </w:rPr>
      </w:pPr>
    </w:p>
    <w:p w14:paraId="2B5D9229" w14:textId="0A9F9361" w:rsidR="00035D60" w:rsidRPr="00C04E88" w:rsidRDefault="00035D60" w:rsidP="00C04E88">
      <w:pPr>
        <w:pStyle w:val="ListParagraph"/>
        <w:numPr>
          <w:ilvl w:val="0"/>
          <w:numId w:val="2"/>
        </w:numPr>
        <w:jc w:val="both"/>
        <w:rPr>
          <w:rFonts w:ascii="Arial" w:hAnsi="Arial" w:cs="Arial"/>
          <w:b/>
          <w:bCs/>
        </w:rPr>
      </w:pPr>
      <w:r w:rsidRPr="00C04E88">
        <w:rPr>
          <w:rFonts w:ascii="Arial" w:hAnsi="Arial" w:cs="Arial"/>
          <w:b/>
          <w:bCs/>
          <w:u w:val="single"/>
        </w:rPr>
        <w:t>RFP pages 6-7, Section III.A. Introduction, and page 15, Exhibit A. Sample Fixed Fee Proposal</w:t>
      </w:r>
    </w:p>
    <w:p w14:paraId="7B531A9F" w14:textId="77777777" w:rsidR="00C04E88" w:rsidRDefault="00C04E88" w:rsidP="00C04E88">
      <w:pPr>
        <w:pStyle w:val="ListParagraph"/>
        <w:spacing w:after="0" w:line="240" w:lineRule="auto"/>
        <w:jc w:val="both"/>
        <w:rPr>
          <w:rFonts w:ascii="Arial" w:hAnsi="Arial" w:cs="Arial"/>
          <w:b/>
          <w:bCs/>
        </w:rPr>
      </w:pPr>
    </w:p>
    <w:p w14:paraId="3FBD0836" w14:textId="431AEF17" w:rsidR="00035D60" w:rsidRPr="00C04E88" w:rsidRDefault="00035D60" w:rsidP="00C04E88">
      <w:pPr>
        <w:pStyle w:val="ListParagraph"/>
        <w:spacing w:after="0" w:line="240" w:lineRule="auto"/>
        <w:jc w:val="both"/>
        <w:rPr>
          <w:rFonts w:ascii="Arial" w:hAnsi="Arial" w:cs="Arial"/>
          <w:b/>
          <w:bCs/>
        </w:rPr>
      </w:pPr>
      <w:r w:rsidRPr="00C04E88">
        <w:rPr>
          <w:rFonts w:ascii="Arial" w:hAnsi="Arial" w:cs="Arial"/>
          <w:b/>
          <w:bCs/>
        </w:rPr>
        <w:t xml:space="preserve">Can you please provide a specific list of services that would need to be provided under the “Actuarial Consulting” item and covered under the fixed fee retainer? </w:t>
      </w:r>
    </w:p>
    <w:p w14:paraId="02EFC310" w14:textId="77777777" w:rsidR="00C04E88" w:rsidRDefault="00C04E88" w:rsidP="00C04E88">
      <w:pPr>
        <w:pStyle w:val="ListParagraph"/>
        <w:spacing w:after="0" w:line="240" w:lineRule="auto"/>
        <w:ind w:left="900"/>
        <w:jc w:val="both"/>
        <w:rPr>
          <w:rFonts w:ascii="Arial" w:hAnsi="Arial" w:cs="Arial"/>
          <w:b/>
          <w:bCs/>
        </w:rPr>
      </w:pPr>
    </w:p>
    <w:p w14:paraId="1A6EE3BB" w14:textId="1BEF2018" w:rsidR="00715B00" w:rsidRPr="000E4689" w:rsidRDefault="00E72E09" w:rsidP="00E72E09">
      <w:pPr>
        <w:spacing w:after="0" w:line="240" w:lineRule="auto"/>
        <w:ind w:left="720"/>
        <w:jc w:val="both"/>
        <w:rPr>
          <w:rFonts w:ascii="Arial" w:hAnsi="Arial" w:cs="Arial"/>
        </w:rPr>
      </w:pPr>
      <w:r w:rsidRPr="00DC3B4E">
        <w:rPr>
          <w:rFonts w:ascii="Arial" w:hAnsi="Arial" w:cs="Arial"/>
        </w:rPr>
        <w:t xml:space="preserve">“Actuarial Consulting” </w:t>
      </w:r>
      <w:r w:rsidR="001D4BAF" w:rsidRPr="00DC3B4E">
        <w:rPr>
          <w:rFonts w:ascii="Arial" w:hAnsi="Arial" w:cs="Arial"/>
        </w:rPr>
        <w:t xml:space="preserve">is </w:t>
      </w:r>
      <w:r w:rsidRPr="00DC3B4E">
        <w:rPr>
          <w:rFonts w:ascii="Arial" w:hAnsi="Arial" w:cs="Arial"/>
        </w:rPr>
        <w:t xml:space="preserve">only for </w:t>
      </w:r>
      <w:r w:rsidR="000E4689" w:rsidRPr="00DC3B4E">
        <w:rPr>
          <w:rFonts w:ascii="Arial" w:hAnsi="Arial" w:cs="Arial"/>
        </w:rPr>
        <w:t xml:space="preserve">the </w:t>
      </w:r>
      <w:r w:rsidRPr="00DC3B4E">
        <w:rPr>
          <w:rFonts w:ascii="Arial" w:hAnsi="Arial" w:cs="Arial"/>
        </w:rPr>
        <w:t xml:space="preserve">services </w:t>
      </w:r>
      <w:r w:rsidR="000E4689" w:rsidRPr="00DC3B4E">
        <w:rPr>
          <w:rFonts w:ascii="Arial" w:hAnsi="Arial" w:cs="Arial"/>
        </w:rPr>
        <w:t>listed in Section III.A</w:t>
      </w:r>
      <w:r w:rsidRPr="00DC3B4E">
        <w:rPr>
          <w:rFonts w:ascii="Arial" w:hAnsi="Arial" w:cs="Arial"/>
        </w:rPr>
        <w:t xml:space="preserve"> See the response to question #1</w:t>
      </w:r>
      <w:r w:rsidR="00636990" w:rsidRPr="00DC3B4E">
        <w:rPr>
          <w:rFonts w:ascii="Arial" w:hAnsi="Arial" w:cs="Arial"/>
        </w:rPr>
        <w:t>1</w:t>
      </w:r>
      <w:r w:rsidRPr="00DC3B4E">
        <w:rPr>
          <w:rFonts w:ascii="Arial" w:hAnsi="Arial" w:cs="Arial"/>
        </w:rPr>
        <w:t xml:space="preserve"> for </w:t>
      </w:r>
      <w:r w:rsidR="001D4BAF" w:rsidRPr="00DC3B4E">
        <w:rPr>
          <w:rFonts w:ascii="Arial" w:hAnsi="Arial" w:cs="Arial"/>
        </w:rPr>
        <w:t xml:space="preserve">a </w:t>
      </w:r>
      <w:r w:rsidRPr="00DC3B4E">
        <w:rPr>
          <w:rFonts w:ascii="Arial" w:hAnsi="Arial" w:cs="Arial"/>
        </w:rPr>
        <w:t>sample of services outside the fixed fee retainer.</w:t>
      </w:r>
    </w:p>
    <w:p w14:paraId="2F7FFF0A" w14:textId="77777777" w:rsidR="00FB346D" w:rsidRDefault="00FB346D" w:rsidP="000E4689">
      <w:pPr>
        <w:pStyle w:val="ListParagraph"/>
        <w:spacing w:after="0" w:line="240" w:lineRule="auto"/>
        <w:ind w:left="907"/>
        <w:jc w:val="both"/>
        <w:rPr>
          <w:rFonts w:ascii="Arial" w:hAnsi="Arial" w:cs="Arial"/>
          <w:b/>
          <w:bCs/>
        </w:rPr>
      </w:pPr>
    </w:p>
    <w:p w14:paraId="51F0C6E0" w14:textId="37F31169" w:rsidR="00035D60" w:rsidRPr="00C04E88" w:rsidRDefault="00035D60" w:rsidP="00C04E88">
      <w:pPr>
        <w:pStyle w:val="ListParagraph"/>
        <w:spacing w:after="0" w:line="240" w:lineRule="auto"/>
        <w:jc w:val="both"/>
        <w:rPr>
          <w:rFonts w:ascii="Arial" w:hAnsi="Arial" w:cs="Arial"/>
          <w:b/>
          <w:bCs/>
        </w:rPr>
      </w:pPr>
      <w:r w:rsidRPr="00C04E88">
        <w:rPr>
          <w:rFonts w:ascii="Arial" w:hAnsi="Arial" w:cs="Arial"/>
          <w:b/>
          <w:bCs/>
        </w:rPr>
        <w:t>Some of our contracts with other CA public sector clients include a fixed quarterly retainer fee for “Actuarial Consulting” services, with an agreement that if the time charges associated with providing such services during the quarter exceed the fixed fee by more than 25%, any excess above the 25% threshold would be billed based on the current hourly rates. Similarly, if the “Actuarial Consulting” time charges are less than 75% of the fixed fee, any balance would be carried forward to the next quarter, for purposes of determining the 125% threshold described above.  Would SJCERA consider a similar modification to a standard fixed-fee agreement?</w:t>
      </w:r>
    </w:p>
    <w:p w14:paraId="1D0A4F40" w14:textId="77777777" w:rsidR="00035D60" w:rsidRDefault="00035D60" w:rsidP="009970E0">
      <w:pPr>
        <w:spacing w:after="0" w:line="240" w:lineRule="auto"/>
        <w:ind w:left="360"/>
        <w:rPr>
          <w:rFonts w:ascii="Arial" w:hAnsi="Arial" w:cs="Arial"/>
          <w:color w:val="000000"/>
        </w:rPr>
      </w:pPr>
    </w:p>
    <w:p w14:paraId="1371EB68" w14:textId="49765290" w:rsidR="00FE7B98" w:rsidRDefault="009970E0" w:rsidP="00EE39EC">
      <w:pPr>
        <w:spacing w:after="0" w:line="240" w:lineRule="auto"/>
        <w:ind w:left="720"/>
        <w:rPr>
          <w:rFonts w:ascii="Arial" w:hAnsi="Arial" w:cs="Arial"/>
          <w:color w:val="000000"/>
        </w:rPr>
      </w:pPr>
      <w:r w:rsidRPr="00210D79">
        <w:rPr>
          <w:rFonts w:ascii="Arial" w:hAnsi="Arial" w:cs="Arial"/>
          <w:color w:val="000000"/>
        </w:rPr>
        <w:t>Yes</w:t>
      </w:r>
      <w:r w:rsidR="00FE7B98" w:rsidRPr="00210D79">
        <w:rPr>
          <w:rFonts w:ascii="Arial" w:hAnsi="Arial" w:cs="Arial"/>
          <w:color w:val="000000"/>
        </w:rPr>
        <w:t xml:space="preserve">, we would consider a similar </w:t>
      </w:r>
      <w:r w:rsidR="00DC3B4E" w:rsidRPr="00210D79">
        <w:rPr>
          <w:rFonts w:ascii="Arial" w:hAnsi="Arial" w:cs="Arial"/>
          <w:color w:val="000000"/>
        </w:rPr>
        <w:t xml:space="preserve">modification </w:t>
      </w:r>
      <w:r w:rsidR="00E56E48" w:rsidRPr="00210D79">
        <w:rPr>
          <w:rFonts w:ascii="Arial" w:hAnsi="Arial" w:cs="Arial"/>
          <w:color w:val="000000"/>
        </w:rPr>
        <w:t xml:space="preserve">to the contract </w:t>
      </w:r>
      <w:r w:rsidR="00DC3B4E" w:rsidRPr="00210D79">
        <w:rPr>
          <w:rFonts w:ascii="Arial" w:hAnsi="Arial" w:cs="Arial"/>
          <w:color w:val="000000"/>
        </w:rPr>
        <w:t>but</w:t>
      </w:r>
      <w:r w:rsidR="00AF26D2" w:rsidRPr="00210D79">
        <w:rPr>
          <w:rFonts w:ascii="Arial" w:hAnsi="Arial" w:cs="Arial"/>
          <w:color w:val="000000"/>
        </w:rPr>
        <w:t xml:space="preserve"> </w:t>
      </w:r>
      <w:r w:rsidR="00E56E48" w:rsidRPr="00210D79">
        <w:rPr>
          <w:rFonts w:ascii="Arial" w:hAnsi="Arial" w:cs="Arial"/>
          <w:color w:val="000000"/>
        </w:rPr>
        <w:t>would want</w:t>
      </w:r>
      <w:r w:rsidR="00AF26D2" w:rsidRPr="00210D79">
        <w:rPr>
          <w:rFonts w:ascii="Arial" w:hAnsi="Arial" w:cs="Arial"/>
          <w:color w:val="000000"/>
        </w:rPr>
        <w:t xml:space="preserve"> more details</w:t>
      </w:r>
      <w:r w:rsidR="00EE39EC" w:rsidRPr="00210D79">
        <w:rPr>
          <w:rFonts w:ascii="Arial" w:hAnsi="Arial" w:cs="Arial"/>
          <w:color w:val="000000"/>
        </w:rPr>
        <w:t xml:space="preserve"> </w:t>
      </w:r>
      <w:r w:rsidR="00210D79">
        <w:rPr>
          <w:rFonts w:ascii="Arial" w:hAnsi="Arial" w:cs="Arial"/>
          <w:color w:val="000000"/>
        </w:rPr>
        <w:t>about how it would be administered, and included in the RFP response</w:t>
      </w:r>
      <w:r w:rsidR="00AF26D2" w:rsidRPr="00210D79">
        <w:rPr>
          <w:rFonts w:ascii="Arial" w:hAnsi="Arial" w:cs="Arial"/>
          <w:color w:val="000000"/>
        </w:rPr>
        <w:t>.</w:t>
      </w:r>
    </w:p>
    <w:p w14:paraId="5D03DF0D" w14:textId="77777777" w:rsidR="00FE7B98" w:rsidRDefault="00FE7B98" w:rsidP="00FE7B98">
      <w:pPr>
        <w:spacing w:after="0" w:line="240" w:lineRule="auto"/>
        <w:ind w:left="360"/>
        <w:rPr>
          <w:rFonts w:ascii="Arial" w:hAnsi="Arial" w:cs="Arial"/>
          <w:color w:val="000000"/>
        </w:rPr>
      </w:pPr>
    </w:p>
    <w:p w14:paraId="2F8F15DB" w14:textId="0AFAFCBA" w:rsidR="00035D60" w:rsidRPr="00636990" w:rsidRDefault="00035D60" w:rsidP="00636990">
      <w:pPr>
        <w:pStyle w:val="ListParagraph"/>
        <w:numPr>
          <w:ilvl w:val="0"/>
          <w:numId w:val="2"/>
        </w:numPr>
        <w:spacing w:after="0" w:line="240" w:lineRule="auto"/>
        <w:rPr>
          <w:rFonts w:ascii="Arial" w:hAnsi="Arial" w:cs="Arial"/>
          <w:b/>
          <w:bCs/>
          <w:u w:val="single"/>
        </w:rPr>
      </w:pPr>
      <w:r w:rsidRPr="00636990">
        <w:rPr>
          <w:rFonts w:ascii="Arial" w:hAnsi="Arial" w:cs="Arial"/>
          <w:b/>
          <w:bCs/>
          <w:u w:val="single"/>
        </w:rPr>
        <w:t>RFP page 6, Section III.A. – Actuarial and Government Table Updates</w:t>
      </w:r>
    </w:p>
    <w:p w14:paraId="1F46309A" w14:textId="75166539" w:rsidR="00035D60" w:rsidRPr="00C04E88" w:rsidRDefault="00035D60" w:rsidP="00C04E88">
      <w:pPr>
        <w:spacing w:after="0" w:line="240" w:lineRule="auto"/>
        <w:ind w:left="720"/>
        <w:jc w:val="both"/>
        <w:rPr>
          <w:rFonts w:ascii="Arial" w:hAnsi="Arial" w:cs="Arial"/>
          <w:b/>
          <w:bCs/>
        </w:rPr>
      </w:pPr>
      <w:r w:rsidRPr="00C04E88">
        <w:rPr>
          <w:rFonts w:ascii="Arial" w:hAnsi="Arial" w:cs="Arial"/>
          <w:b/>
          <w:bCs/>
        </w:rPr>
        <w:t>We note that the list of services to be covered under the fixed fee includes “Actuarial and Government Table Updates and Testing including Factor Tables for the Pension Administration System (PAS)”. Can you please confirm whether that this would include the provision of factors &amp; testing of such factors based on the current PAS, but that consulting/testing related to the implementation of a new PAS (or significant redesign of the current PAS) would potentially result in additional services billed outside of the fixed fee retainer, if the effort required significantly</w:t>
      </w:r>
      <w:r w:rsidR="00F05DC3">
        <w:rPr>
          <w:rFonts w:ascii="Arial" w:hAnsi="Arial" w:cs="Arial"/>
          <w:b/>
          <w:bCs/>
        </w:rPr>
        <w:t xml:space="preserve"> </w:t>
      </w:r>
      <w:r w:rsidRPr="00C04E88">
        <w:rPr>
          <w:rFonts w:ascii="Arial" w:hAnsi="Arial" w:cs="Arial"/>
          <w:b/>
          <w:bCs/>
        </w:rPr>
        <w:t>exceeds the efforts under the current system?</w:t>
      </w:r>
    </w:p>
    <w:p w14:paraId="62C346B4" w14:textId="77777777" w:rsidR="00035D60" w:rsidRDefault="00035D60" w:rsidP="000E4689">
      <w:pPr>
        <w:spacing w:after="0" w:line="240" w:lineRule="auto"/>
        <w:ind w:left="360"/>
        <w:rPr>
          <w:rFonts w:ascii="Arial" w:hAnsi="Arial" w:cs="Arial"/>
        </w:rPr>
      </w:pPr>
    </w:p>
    <w:p w14:paraId="776066F4" w14:textId="1C2762BE" w:rsidR="00F05DC3" w:rsidRDefault="00F05DC3" w:rsidP="00580CF7">
      <w:pPr>
        <w:ind w:left="720"/>
        <w:jc w:val="both"/>
        <w:rPr>
          <w:rFonts w:ascii="Arial" w:hAnsi="Arial" w:cs="Arial"/>
        </w:rPr>
      </w:pPr>
      <w:r w:rsidRPr="00DC3B4E">
        <w:rPr>
          <w:rFonts w:ascii="Arial" w:hAnsi="Arial" w:cs="Arial"/>
        </w:rPr>
        <w:t xml:space="preserve">Yes, </w:t>
      </w:r>
      <w:r w:rsidR="00AF26D2" w:rsidRPr="00DC3B4E">
        <w:rPr>
          <w:rFonts w:ascii="Arial" w:hAnsi="Arial" w:cs="Arial"/>
        </w:rPr>
        <w:t xml:space="preserve">it may result in additional services outside the fixed fee retainer </w:t>
      </w:r>
      <w:r w:rsidRPr="00DC3B4E">
        <w:rPr>
          <w:rFonts w:ascii="Arial" w:hAnsi="Arial" w:cs="Arial"/>
        </w:rPr>
        <w:t>if the effort required significantly exceeds the efforts under the current system.</w:t>
      </w:r>
    </w:p>
    <w:p w14:paraId="357CC244" w14:textId="77777777" w:rsidR="00636990" w:rsidRDefault="00636990" w:rsidP="00580CF7">
      <w:pPr>
        <w:ind w:left="720"/>
        <w:jc w:val="both"/>
        <w:rPr>
          <w:rFonts w:ascii="Arial" w:hAnsi="Arial" w:cs="Arial"/>
        </w:rPr>
      </w:pPr>
    </w:p>
    <w:p w14:paraId="787C6185" w14:textId="388D01E8" w:rsidR="00035D60" w:rsidRPr="00F05DC3" w:rsidRDefault="00035D60" w:rsidP="00F05DC3">
      <w:pPr>
        <w:pStyle w:val="ListParagraph"/>
        <w:numPr>
          <w:ilvl w:val="0"/>
          <w:numId w:val="2"/>
        </w:numPr>
        <w:jc w:val="both"/>
        <w:rPr>
          <w:rFonts w:ascii="Arial" w:hAnsi="Arial" w:cs="Arial"/>
          <w:b/>
          <w:bCs/>
        </w:rPr>
      </w:pPr>
      <w:r w:rsidRPr="00F05DC3">
        <w:rPr>
          <w:rFonts w:ascii="Arial" w:hAnsi="Arial" w:cs="Arial"/>
          <w:b/>
          <w:bCs/>
          <w:u w:val="single"/>
        </w:rPr>
        <w:t>RFP page 15, Exhibit A. Sample Fixed Fee Proposal</w:t>
      </w:r>
    </w:p>
    <w:p w14:paraId="261D9A27" w14:textId="4F719583" w:rsidR="00035D60" w:rsidRDefault="00035D60" w:rsidP="00572A5D">
      <w:pPr>
        <w:pStyle w:val="ListParagraph"/>
        <w:spacing w:after="0" w:line="240" w:lineRule="auto"/>
        <w:jc w:val="both"/>
        <w:rPr>
          <w:rFonts w:ascii="Arial" w:hAnsi="Arial" w:cs="Arial"/>
          <w:b/>
          <w:bCs/>
        </w:rPr>
      </w:pPr>
      <w:r w:rsidRPr="00F05DC3">
        <w:rPr>
          <w:rFonts w:ascii="Arial" w:hAnsi="Arial" w:cs="Arial"/>
          <w:b/>
          <w:bCs/>
        </w:rPr>
        <w:t xml:space="preserve">The Sample Fixed Fee proposal includes a single line for hourly services outside the scope of the RFP, including annual COLA increase. Can you please confirm that it would be acceptable to provide a single rate or range of hourly rates </w:t>
      </w:r>
      <w:r w:rsidRPr="00F05DC3">
        <w:rPr>
          <w:rFonts w:ascii="Arial" w:hAnsi="Arial" w:cs="Arial"/>
          <w:b/>
          <w:bCs/>
          <w:i/>
          <w:iCs/>
        </w:rPr>
        <w:t>for each job classification</w:t>
      </w:r>
      <w:r w:rsidRPr="00F05DC3">
        <w:rPr>
          <w:rFonts w:ascii="Arial" w:hAnsi="Arial" w:cs="Arial"/>
          <w:b/>
          <w:bCs/>
        </w:rPr>
        <w:t xml:space="preserve"> (i.e., principal consultant, consulting actuary, senior analyst, admin, etc.)?</w:t>
      </w:r>
    </w:p>
    <w:p w14:paraId="7B8BFD29" w14:textId="77777777" w:rsidR="00F05DC3" w:rsidRDefault="00F05DC3" w:rsidP="00F05DC3">
      <w:pPr>
        <w:spacing w:after="0" w:line="240" w:lineRule="auto"/>
        <w:ind w:left="720"/>
        <w:jc w:val="both"/>
        <w:rPr>
          <w:rFonts w:ascii="Arial" w:hAnsi="Arial" w:cs="Arial"/>
          <w:b/>
          <w:bCs/>
        </w:rPr>
      </w:pPr>
    </w:p>
    <w:p w14:paraId="65BA0C50" w14:textId="367BCCC6" w:rsidR="00F05DC3" w:rsidRPr="00F05DC3" w:rsidRDefault="00F05DC3" w:rsidP="00F05DC3">
      <w:pPr>
        <w:spacing w:after="0" w:line="240" w:lineRule="auto"/>
        <w:ind w:left="720"/>
        <w:jc w:val="both"/>
        <w:rPr>
          <w:rFonts w:ascii="Arial" w:hAnsi="Arial" w:cs="Arial"/>
        </w:rPr>
      </w:pPr>
      <w:r w:rsidRPr="00DC3B4E">
        <w:rPr>
          <w:rFonts w:ascii="Arial" w:hAnsi="Arial" w:cs="Arial"/>
        </w:rPr>
        <w:t>Yes</w:t>
      </w:r>
      <w:r w:rsidR="00361D44" w:rsidRPr="00DC3B4E">
        <w:rPr>
          <w:rFonts w:ascii="Arial" w:hAnsi="Arial" w:cs="Arial"/>
        </w:rPr>
        <w:t>, either is fine.</w:t>
      </w:r>
    </w:p>
    <w:p w14:paraId="0F98A518" w14:textId="77777777" w:rsidR="00F05DC3" w:rsidRPr="00F05DC3" w:rsidRDefault="00F05DC3" w:rsidP="00F05DC3">
      <w:pPr>
        <w:pStyle w:val="ListParagraph"/>
        <w:spacing w:after="0" w:line="240" w:lineRule="auto"/>
        <w:ind w:left="900"/>
        <w:jc w:val="both"/>
        <w:rPr>
          <w:rFonts w:ascii="Arial" w:hAnsi="Arial" w:cs="Arial"/>
          <w:b/>
          <w:bCs/>
        </w:rPr>
      </w:pPr>
    </w:p>
    <w:p w14:paraId="58AF8104" w14:textId="5D7C9623" w:rsidR="00035D60" w:rsidRPr="00F05DC3" w:rsidRDefault="00035D60" w:rsidP="00F05DC3">
      <w:pPr>
        <w:spacing w:after="0" w:line="240" w:lineRule="auto"/>
        <w:ind w:left="720"/>
        <w:jc w:val="both"/>
        <w:rPr>
          <w:rFonts w:ascii="Arial" w:hAnsi="Arial" w:cs="Arial"/>
          <w:b/>
          <w:bCs/>
        </w:rPr>
      </w:pPr>
      <w:r w:rsidRPr="00F05DC3">
        <w:rPr>
          <w:rFonts w:ascii="Arial" w:hAnsi="Arial" w:cs="Arial"/>
          <w:b/>
          <w:bCs/>
        </w:rPr>
        <w:t>For the annual COLA increase, would it be acceptable to provide the single rates or range as noted above for Year 1 of the contract, and then specify that the hourly rates in each following year will be increased by a specified percentage or the change in a specified index (e.g., CPI-U)?</w:t>
      </w:r>
    </w:p>
    <w:p w14:paraId="3B152EA1" w14:textId="77777777" w:rsidR="00572A5D" w:rsidRDefault="00F05DC3" w:rsidP="00572A5D">
      <w:pPr>
        <w:spacing w:after="0" w:line="240" w:lineRule="auto"/>
        <w:jc w:val="both"/>
        <w:rPr>
          <w:rFonts w:ascii="Arial" w:hAnsi="Arial" w:cs="Arial"/>
          <w:b/>
          <w:bCs/>
        </w:rPr>
      </w:pPr>
      <w:r>
        <w:rPr>
          <w:rFonts w:ascii="Arial" w:hAnsi="Arial" w:cs="Arial"/>
          <w:b/>
          <w:bCs/>
        </w:rPr>
        <w:tab/>
      </w:r>
    </w:p>
    <w:p w14:paraId="034406A6" w14:textId="777DF3D9" w:rsidR="00F05DC3" w:rsidRDefault="00F05DC3" w:rsidP="000E4689">
      <w:pPr>
        <w:spacing w:after="0" w:line="240" w:lineRule="auto"/>
        <w:ind w:firstLine="720"/>
        <w:jc w:val="both"/>
        <w:rPr>
          <w:rFonts w:ascii="Arial" w:hAnsi="Arial" w:cs="Arial"/>
        </w:rPr>
      </w:pPr>
      <w:r w:rsidRPr="00DC3B4E">
        <w:rPr>
          <w:rFonts w:ascii="Arial" w:hAnsi="Arial" w:cs="Arial"/>
        </w:rPr>
        <w:t>Yes</w:t>
      </w:r>
      <w:r w:rsidR="00DC3B4E" w:rsidRPr="00DC3B4E">
        <w:rPr>
          <w:rFonts w:ascii="Arial" w:hAnsi="Arial" w:cs="Arial"/>
        </w:rPr>
        <w:t>.</w:t>
      </w:r>
    </w:p>
    <w:p w14:paraId="2FB83EEE" w14:textId="77777777" w:rsidR="000E4689" w:rsidRPr="00F05DC3" w:rsidRDefault="000E4689" w:rsidP="000E4689">
      <w:pPr>
        <w:spacing w:after="0" w:line="240" w:lineRule="auto"/>
        <w:ind w:firstLine="720"/>
        <w:jc w:val="both"/>
        <w:rPr>
          <w:rFonts w:ascii="Arial" w:hAnsi="Arial" w:cs="Arial"/>
        </w:rPr>
      </w:pPr>
    </w:p>
    <w:p w14:paraId="60DCA181" w14:textId="0805A09A" w:rsidR="00035D60" w:rsidRPr="00F05DC3" w:rsidRDefault="00035D60" w:rsidP="00F05DC3">
      <w:pPr>
        <w:pStyle w:val="ListParagraph"/>
        <w:numPr>
          <w:ilvl w:val="0"/>
          <w:numId w:val="2"/>
        </w:numPr>
        <w:jc w:val="both"/>
        <w:rPr>
          <w:rFonts w:ascii="Arial" w:hAnsi="Arial" w:cs="Arial"/>
          <w:b/>
          <w:bCs/>
          <w:color w:val="000000"/>
          <w:u w:val="single"/>
        </w:rPr>
      </w:pPr>
      <w:r w:rsidRPr="00F05DC3">
        <w:rPr>
          <w:rFonts w:ascii="Arial" w:hAnsi="Arial" w:cs="Arial"/>
          <w:b/>
          <w:bCs/>
          <w:color w:val="000000"/>
          <w:u w:val="single"/>
        </w:rPr>
        <w:t>RFP page 6, Section III.A. – Actuarial Valuation, and page 15, Exhibit A. Sample Fixed Fee Proposal</w:t>
      </w:r>
    </w:p>
    <w:p w14:paraId="1FE13A36" w14:textId="77777777" w:rsidR="00F05DC3" w:rsidRPr="00F05DC3" w:rsidRDefault="00F05DC3" w:rsidP="00F05DC3">
      <w:pPr>
        <w:pStyle w:val="ListParagraph"/>
        <w:spacing w:after="0" w:line="240" w:lineRule="auto"/>
        <w:ind w:left="360"/>
        <w:jc w:val="both"/>
        <w:rPr>
          <w:rFonts w:ascii="Arial" w:hAnsi="Arial" w:cs="Arial"/>
          <w:b/>
          <w:bCs/>
        </w:rPr>
      </w:pPr>
    </w:p>
    <w:p w14:paraId="0B2CB0F3" w14:textId="07D8B696" w:rsidR="00035D60" w:rsidRPr="00F05DC3" w:rsidRDefault="00035D60" w:rsidP="00F05DC3">
      <w:pPr>
        <w:pStyle w:val="ListParagraph"/>
        <w:spacing w:after="0" w:line="240" w:lineRule="auto"/>
        <w:jc w:val="both"/>
        <w:rPr>
          <w:rFonts w:ascii="Arial" w:hAnsi="Arial" w:cs="Arial"/>
          <w:b/>
          <w:bCs/>
          <w:color w:val="000000"/>
        </w:rPr>
      </w:pPr>
      <w:r w:rsidRPr="00F05DC3">
        <w:rPr>
          <w:rFonts w:ascii="Arial" w:hAnsi="Arial" w:cs="Arial"/>
          <w:b/>
          <w:bCs/>
        </w:rPr>
        <w:t>Actuarial Standard of Practice No. 51 requires that actuaries perform regular risk assessments for plans with actuarial funding valuations. These assessments may be a part of the regular actuarial valuation report or issued as a separate document. If a firm elects to issue the assessment as a separate document, should the cost of the assessment be included in the annual fixed fee retainer?</w:t>
      </w:r>
    </w:p>
    <w:bookmarkEnd w:id="0"/>
    <w:p w14:paraId="0A186539" w14:textId="77777777" w:rsidR="00035D60" w:rsidRDefault="00035D60" w:rsidP="00035D60">
      <w:pPr>
        <w:autoSpaceDE w:val="0"/>
        <w:autoSpaceDN w:val="0"/>
        <w:adjustRightInd w:val="0"/>
        <w:spacing w:after="0" w:line="240" w:lineRule="auto"/>
        <w:rPr>
          <w:rFonts w:ascii="Arial" w:hAnsi="Arial" w:cs="Arial"/>
          <w:kern w:val="0"/>
        </w:rPr>
      </w:pPr>
    </w:p>
    <w:p w14:paraId="06574E3C" w14:textId="576316F4" w:rsidR="000E4689" w:rsidRDefault="00361D44" w:rsidP="00580CF7">
      <w:pPr>
        <w:autoSpaceDE w:val="0"/>
        <w:autoSpaceDN w:val="0"/>
        <w:adjustRightInd w:val="0"/>
        <w:spacing w:after="0" w:line="240" w:lineRule="auto"/>
        <w:ind w:left="720"/>
        <w:jc w:val="both"/>
        <w:rPr>
          <w:rFonts w:ascii="Arial" w:hAnsi="Arial" w:cs="Arial"/>
          <w:kern w:val="0"/>
        </w:rPr>
      </w:pPr>
      <w:r w:rsidRPr="00DC3B4E">
        <w:rPr>
          <w:rFonts w:ascii="Arial" w:hAnsi="Arial" w:cs="Arial"/>
          <w:kern w:val="0"/>
        </w:rPr>
        <w:t xml:space="preserve">At this time, </w:t>
      </w:r>
      <w:r w:rsidR="000E4689" w:rsidRPr="00DC3B4E">
        <w:rPr>
          <w:rFonts w:ascii="Arial" w:hAnsi="Arial" w:cs="Arial"/>
          <w:kern w:val="0"/>
        </w:rPr>
        <w:t xml:space="preserve">SJCERA </w:t>
      </w:r>
      <w:r w:rsidRPr="00DC3B4E">
        <w:rPr>
          <w:rFonts w:ascii="Arial" w:hAnsi="Arial" w:cs="Arial"/>
          <w:kern w:val="0"/>
        </w:rPr>
        <w:t>does not intend to elect</w:t>
      </w:r>
      <w:r w:rsidR="000E4689" w:rsidRPr="00DC3B4E">
        <w:rPr>
          <w:rFonts w:ascii="Arial" w:hAnsi="Arial" w:cs="Arial"/>
          <w:kern w:val="0"/>
        </w:rPr>
        <w:t xml:space="preserve"> the risk assessment as a separate document</w:t>
      </w:r>
      <w:r w:rsidRPr="00DC3B4E">
        <w:rPr>
          <w:rFonts w:ascii="Arial" w:hAnsi="Arial" w:cs="Arial"/>
          <w:kern w:val="0"/>
        </w:rPr>
        <w:t>.</w:t>
      </w:r>
    </w:p>
    <w:p w14:paraId="4B89184A" w14:textId="77777777" w:rsidR="000E4689" w:rsidRPr="00A532C8" w:rsidRDefault="000E4689" w:rsidP="00035D60">
      <w:pPr>
        <w:autoSpaceDE w:val="0"/>
        <w:autoSpaceDN w:val="0"/>
        <w:adjustRightInd w:val="0"/>
        <w:spacing w:after="0" w:line="240" w:lineRule="auto"/>
        <w:rPr>
          <w:rFonts w:ascii="Arial" w:hAnsi="Arial" w:cs="Arial"/>
          <w:kern w:val="0"/>
        </w:rPr>
      </w:pPr>
    </w:p>
    <w:p w14:paraId="2E1B0665" w14:textId="5A19455C" w:rsidR="00035D60" w:rsidRDefault="00035D60" w:rsidP="00F05DC3">
      <w:pPr>
        <w:pStyle w:val="ListParagraph"/>
        <w:numPr>
          <w:ilvl w:val="0"/>
          <w:numId w:val="2"/>
        </w:numPr>
        <w:autoSpaceDE w:val="0"/>
        <w:autoSpaceDN w:val="0"/>
        <w:adjustRightInd w:val="0"/>
        <w:spacing w:after="0" w:line="240" w:lineRule="auto"/>
        <w:jc w:val="both"/>
        <w:rPr>
          <w:rFonts w:ascii="Arial" w:hAnsi="Arial" w:cs="Arial"/>
          <w:b/>
          <w:bCs/>
          <w:kern w:val="0"/>
        </w:rPr>
      </w:pPr>
      <w:r w:rsidRPr="00F05DC3">
        <w:rPr>
          <w:rFonts w:ascii="Arial" w:hAnsi="Arial" w:cs="Arial"/>
          <w:b/>
          <w:bCs/>
          <w:kern w:val="0"/>
        </w:rPr>
        <w:t>Section III, item A., page 6. How often are the Actuarial and Government Table</w:t>
      </w:r>
      <w:r w:rsidR="00C04E88" w:rsidRPr="00F05DC3">
        <w:rPr>
          <w:rFonts w:ascii="Arial" w:hAnsi="Arial" w:cs="Arial"/>
          <w:b/>
          <w:bCs/>
          <w:kern w:val="0"/>
        </w:rPr>
        <w:t xml:space="preserve"> </w:t>
      </w:r>
      <w:r w:rsidRPr="00F05DC3">
        <w:rPr>
          <w:rFonts w:ascii="Arial" w:hAnsi="Arial" w:cs="Arial"/>
          <w:b/>
          <w:bCs/>
          <w:kern w:val="0"/>
        </w:rPr>
        <w:t>Updates and Testing including Factor Tables for the Pension Administration</w:t>
      </w:r>
      <w:r w:rsidR="00F05DC3" w:rsidRPr="00F05DC3">
        <w:rPr>
          <w:rFonts w:ascii="Arial" w:hAnsi="Arial" w:cs="Arial"/>
          <w:b/>
          <w:bCs/>
          <w:kern w:val="0"/>
        </w:rPr>
        <w:t xml:space="preserve"> </w:t>
      </w:r>
      <w:r w:rsidRPr="00F05DC3">
        <w:rPr>
          <w:rFonts w:ascii="Arial" w:hAnsi="Arial" w:cs="Arial"/>
          <w:b/>
          <w:bCs/>
          <w:kern w:val="0"/>
        </w:rPr>
        <w:t>System performed?</w:t>
      </w:r>
    </w:p>
    <w:p w14:paraId="7EECE453" w14:textId="77777777" w:rsidR="009970E0" w:rsidRDefault="009970E0" w:rsidP="009970E0">
      <w:pPr>
        <w:pStyle w:val="ListParagraph"/>
        <w:autoSpaceDE w:val="0"/>
        <w:autoSpaceDN w:val="0"/>
        <w:adjustRightInd w:val="0"/>
        <w:spacing w:after="0" w:line="240" w:lineRule="auto"/>
        <w:jc w:val="both"/>
        <w:rPr>
          <w:rFonts w:ascii="Arial" w:hAnsi="Arial" w:cs="Arial"/>
          <w:b/>
          <w:bCs/>
          <w:kern w:val="0"/>
        </w:rPr>
      </w:pPr>
    </w:p>
    <w:p w14:paraId="605F9ED8" w14:textId="6669D3F7" w:rsidR="009970E0" w:rsidRPr="000B52AC" w:rsidRDefault="009970E0" w:rsidP="009970E0">
      <w:pPr>
        <w:pStyle w:val="ListParagraph"/>
        <w:autoSpaceDE w:val="0"/>
        <w:autoSpaceDN w:val="0"/>
        <w:adjustRightInd w:val="0"/>
        <w:spacing w:after="0" w:line="240" w:lineRule="auto"/>
        <w:jc w:val="both"/>
        <w:rPr>
          <w:rFonts w:ascii="Arial" w:hAnsi="Arial" w:cs="Arial"/>
          <w:kern w:val="0"/>
        </w:rPr>
      </w:pPr>
      <w:r w:rsidRPr="00DC3B4E">
        <w:rPr>
          <w:rFonts w:ascii="Arial" w:hAnsi="Arial" w:cs="Arial"/>
          <w:kern w:val="0"/>
        </w:rPr>
        <w:t>Tables are provided annually</w:t>
      </w:r>
      <w:r w:rsidR="000B52AC" w:rsidRPr="00DC3B4E">
        <w:rPr>
          <w:rFonts w:ascii="Arial" w:hAnsi="Arial" w:cs="Arial"/>
          <w:kern w:val="0"/>
        </w:rPr>
        <w:t xml:space="preserve"> including the semi-annual Interest Tables.</w:t>
      </w:r>
      <w:r w:rsidR="000B52AC" w:rsidRPr="000B52AC">
        <w:rPr>
          <w:rFonts w:ascii="Arial" w:hAnsi="Arial" w:cs="Arial"/>
          <w:kern w:val="0"/>
        </w:rPr>
        <w:t xml:space="preserve">  </w:t>
      </w:r>
    </w:p>
    <w:p w14:paraId="195B866E" w14:textId="77777777" w:rsidR="00C04E88" w:rsidRDefault="00C04E88" w:rsidP="00035D60">
      <w:pPr>
        <w:autoSpaceDE w:val="0"/>
        <w:autoSpaceDN w:val="0"/>
        <w:adjustRightInd w:val="0"/>
        <w:spacing w:after="0" w:line="240" w:lineRule="auto"/>
        <w:rPr>
          <w:rFonts w:ascii="Arial" w:hAnsi="Arial" w:cs="Arial"/>
          <w:kern w:val="0"/>
        </w:rPr>
      </w:pPr>
    </w:p>
    <w:p w14:paraId="37FB8BC8" w14:textId="560B7B05" w:rsidR="00035D60" w:rsidRDefault="00035D60" w:rsidP="000E4689">
      <w:pPr>
        <w:pStyle w:val="ListParagraph"/>
        <w:numPr>
          <w:ilvl w:val="0"/>
          <w:numId w:val="2"/>
        </w:numPr>
        <w:autoSpaceDE w:val="0"/>
        <w:autoSpaceDN w:val="0"/>
        <w:adjustRightInd w:val="0"/>
        <w:spacing w:after="0" w:line="240" w:lineRule="auto"/>
        <w:jc w:val="both"/>
        <w:rPr>
          <w:rFonts w:ascii="Arial" w:hAnsi="Arial" w:cs="Arial"/>
          <w:b/>
          <w:bCs/>
          <w:kern w:val="0"/>
        </w:rPr>
      </w:pPr>
      <w:r w:rsidRPr="00F05DC3">
        <w:rPr>
          <w:rFonts w:ascii="Arial" w:hAnsi="Arial" w:cs="Arial"/>
          <w:b/>
          <w:bCs/>
          <w:kern w:val="0"/>
        </w:rPr>
        <w:t>Section III, item A., page 6. Is the census data provided for all public employers</w:t>
      </w:r>
      <w:r w:rsidR="00C04E88" w:rsidRPr="00F05DC3">
        <w:rPr>
          <w:rFonts w:ascii="Arial" w:hAnsi="Arial" w:cs="Arial"/>
          <w:b/>
          <w:bCs/>
          <w:kern w:val="0"/>
        </w:rPr>
        <w:t xml:space="preserve"> </w:t>
      </w:r>
      <w:r w:rsidRPr="00F05DC3">
        <w:rPr>
          <w:rFonts w:ascii="Arial" w:hAnsi="Arial" w:cs="Arial"/>
          <w:b/>
          <w:bCs/>
          <w:kern w:val="0"/>
        </w:rPr>
        <w:t>come from a single source, or does each public employer provide updated</w:t>
      </w:r>
      <w:r w:rsidR="00F05DC3" w:rsidRPr="00F05DC3">
        <w:rPr>
          <w:rFonts w:ascii="Arial" w:hAnsi="Arial" w:cs="Arial"/>
          <w:b/>
          <w:bCs/>
          <w:kern w:val="0"/>
        </w:rPr>
        <w:t xml:space="preserve"> </w:t>
      </w:r>
      <w:r w:rsidRPr="00F05DC3">
        <w:rPr>
          <w:rFonts w:ascii="Arial" w:hAnsi="Arial" w:cs="Arial"/>
          <w:b/>
          <w:bCs/>
          <w:kern w:val="0"/>
        </w:rPr>
        <w:t>census? Is there a single contact for any data questions?</w:t>
      </w:r>
    </w:p>
    <w:p w14:paraId="5C052E87" w14:textId="77777777" w:rsidR="000B52AC" w:rsidRDefault="000B52AC" w:rsidP="000B52AC">
      <w:pPr>
        <w:pStyle w:val="ListParagraph"/>
        <w:autoSpaceDE w:val="0"/>
        <w:autoSpaceDN w:val="0"/>
        <w:adjustRightInd w:val="0"/>
        <w:spacing w:after="0" w:line="240" w:lineRule="auto"/>
        <w:rPr>
          <w:rFonts w:ascii="Arial" w:hAnsi="Arial" w:cs="Arial"/>
          <w:b/>
          <w:bCs/>
          <w:kern w:val="0"/>
        </w:rPr>
      </w:pPr>
    </w:p>
    <w:p w14:paraId="439F785E" w14:textId="4E893224" w:rsidR="000B52AC" w:rsidRPr="000B52AC" w:rsidRDefault="000B52AC" w:rsidP="00580CF7">
      <w:pPr>
        <w:pStyle w:val="ListParagraph"/>
        <w:autoSpaceDE w:val="0"/>
        <w:autoSpaceDN w:val="0"/>
        <w:adjustRightInd w:val="0"/>
        <w:spacing w:after="0" w:line="240" w:lineRule="auto"/>
        <w:jc w:val="both"/>
        <w:rPr>
          <w:rFonts w:ascii="Arial" w:hAnsi="Arial" w:cs="Arial"/>
          <w:kern w:val="0"/>
        </w:rPr>
      </w:pPr>
      <w:r w:rsidRPr="00DC3B4E">
        <w:rPr>
          <w:rFonts w:ascii="Arial" w:hAnsi="Arial" w:cs="Arial"/>
          <w:kern w:val="0"/>
        </w:rPr>
        <w:t>The census data is provided from a single source (SJCERA) and there is a single contact for data questions (SJCERA).</w:t>
      </w:r>
    </w:p>
    <w:p w14:paraId="35726D2C" w14:textId="77777777" w:rsidR="00C04E88" w:rsidRDefault="00C04E88" w:rsidP="00035D60">
      <w:pPr>
        <w:autoSpaceDE w:val="0"/>
        <w:autoSpaceDN w:val="0"/>
        <w:adjustRightInd w:val="0"/>
        <w:spacing w:after="0" w:line="240" w:lineRule="auto"/>
        <w:rPr>
          <w:rFonts w:ascii="Arial" w:hAnsi="Arial" w:cs="Arial"/>
          <w:kern w:val="0"/>
        </w:rPr>
      </w:pPr>
    </w:p>
    <w:p w14:paraId="349FFF4F" w14:textId="3CD0C81D" w:rsidR="00035D60" w:rsidRPr="00572A5D" w:rsidRDefault="00035D60" w:rsidP="00572A5D">
      <w:pPr>
        <w:pStyle w:val="ListParagraph"/>
        <w:numPr>
          <w:ilvl w:val="0"/>
          <w:numId w:val="2"/>
        </w:numPr>
        <w:autoSpaceDE w:val="0"/>
        <w:autoSpaceDN w:val="0"/>
        <w:adjustRightInd w:val="0"/>
        <w:spacing w:after="0" w:line="240" w:lineRule="auto"/>
        <w:jc w:val="both"/>
        <w:rPr>
          <w:rFonts w:ascii="Arial" w:hAnsi="Arial" w:cs="Arial"/>
          <w:b/>
          <w:bCs/>
          <w:kern w:val="0"/>
        </w:rPr>
      </w:pPr>
      <w:r w:rsidRPr="00572A5D">
        <w:rPr>
          <w:rFonts w:ascii="Arial" w:hAnsi="Arial" w:cs="Arial"/>
          <w:b/>
          <w:bCs/>
          <w:kern w:val="0"/>
        </w:rPr>
        <w:lastRenderedPageBreak/>
        <w:t>Section III, item A., page 6. In the summary list of actuarial projects, which of</w:t>
      </w:r>
      <w:r w:rsidR="00C04E88" w:rsidRPr="00572A5D">
        <w:rPr>
          <w:rFonts w:ascii="Arial" w:hAnsi="Arial" w:cs="Arial"/>
          <w:b/>
          <w:bCs/>
          <w:kern w:val="0"/>
        </w:rPr>
        <w:t xml:space="preserve"> </w:t>
      </w:r>
      <w:r w:rsidRPr="00572A5D">
        <w:rPr>
          <w:rFonts w:ascii="Arial" w:hAnsi="Arial" w:cs="Arial"/>
          <w:b/>
          <w:bCs/>
          <w:kern w:val="0"/>
        </w:rPr>
        <w:t>the list are included in the annual fixed fee, and which are billed at the agreed</w:t>
      </w:r>
      <w:r w:rsidR="00572A5D" w:rsidRPr="00572A5D">
        <w:rPr>
          <w:rFonts w:ascii="Arial" w:hAnsi="Arial" w:cs="Arial"/>
          <w:b/>
          <w:bCs/>
          <w:kern w:val="0"/>
        </w:rPr>
        <w:t xml:space="preserve"> upon hourly rate?</w:t>
      </w:r>
    </w:p>
    <w:p w14:paraId="79124A3E" w14:textId="3C108B9F" w:rsidR="00035D60" w:rsidRPr="00A532C8" w:rsidRDefault="00035D60" w:rsidP="00572A5D">
      <w:pPr>
        <w:autoSpaceDE w:val="0"/>
        <w:autoSpaceDN w:val="0"/>
        <w:adjustRightInd w:val="0"/>
        <w:spacing w:after="0" w:line="240" w:lineRule="auto"/>
        <w:ind w:firstLine="720"/>
        <w:rPr>
          <w:rFonts w:ascii="Arial" w:hAnsi="Arial" w:cs="Arial"/>
          <w:kern w:val="0"/>
        </w:rPr>
      </w:pPr>
    </w:p>
    <w:p w14:paraId="07C7038B" w14:textId="0E0FFF92" w:rsidR="00C04E88" w:rsidRDefault="00F76557" w:rsidP="000B52AC">
      <w:pPr>
        <w:autoSpaceDE w:val="0"/>
        <w:autoSpaceDN w:val="0"/>
        <w:adjustRightInd w:val="0"/>
        <w:spacing w:after="0" w:line="240" w:lineRule="auto"/>
        <w:ind w:left="720"/>
        <w:rPr>
          <w:rFonts w:ascii="Arial" w:hAnsi="Arial" w:cs="Arial"/>
          <w:kern w:val="0"/>
        </w:rPr>
      </w:pPr>
      <w:bookmarkStart w:id="1" w:name="_Hlk199748284"/>
      <w:r w:rsidRPr="00DC3B4E">
        <w:rPr>
          <w:rFonts w:ascii="Arial" w:hAnsi="Arial" w:cs="Arial"/>
          <w:kern w:val="0"/>
        </w:rPr>
        <w:t xml:space="preserve">All the items listed in III.A. should be included in the fixed fee. See the response to question </w:t>
      </w:r>
      <w:r w:rsidR="00AF26D2" w:rsidRPr="00DC3B4E">
        <w:rPr>
          <w:rFonts w:ascii="Arial" w:hAnsi="Arial" w:cs="Arial"/>
          <w:kern w:val="0"/>
        </w:rPr>
        <w:t xml:space="preserve">1 and </w:t>
      </w:r>
      <w:r w:rsidRPr="00DC3B4E">
        <w:rPr>
          <w:rFonts w:ascii="Arial" w:hAnsi="Arial" w:cs="Arial"/>
          <w:kern w:val="0"/>
        </w:rPr>
        <w:t>11 for a sample of items outside the fixed retainer fee.</w:t>
      </w:r>
      <w:r w:rsidR="000B52AC" w:rsidRPr="00DC3B4E">
        <w:rPr>
          <w:rFonts w:ascii="Arial" w:hAnsi="Arial" w:cs="Arial"/>
          <w:kern w:val="0"/>
        </w:rPr>
        <w:t xml:space="preserve"> </w:t>
      </w:r>
    </w:p>
    <w:p w14:paraId="44236D4D" w14:textId="77777777" w:rsidR="005A62BC" w:rsidRDefault="005A62BC" w:rsidP="000B52AC">
      <w:pPr>
        <w:autoSpaceDE w:val="0"/>
        <w:autoSpaceDN w:val="0"/>
        <w:adjustRightInd w:val="0"/>
        <w:spacing w:after="0" w:line="240" w:lineRule="auto"/>
        <w:ind w:left="720"/>
        <w:rPr>
          <w:rFonts w:ascii="Arial" w:hAnsi="Arial" w:cs="Arial"/>
          <w:kern w:val="0"/>
        </w:rPr>
      </w:pPr>
    </w:p>
    <w:bookmarkEnd w:id="1"/>
    <w:p w14:paraId="70C0DDEB" w14:textId="5FDDD9FF" w:rsidR="00EB47D8" w:rsidRPr="00572A5D" w:rsidRDefault="00035D60" w:rsidP="00572A5D">
      <w:pPr>
        <w:pStyle w:val="ListParagraph"/>
        <w:numPr>
          <w:ilvl w:val="0"/>
          <w:numId w:val="2"/>
        </w:numPr>
        <w:autoSpaceDE w:val="0"/>
        <w:autoSpaceDN w:val="0"/>
        <w:adjustRightInd w:val="0"/>
        <w:spacing w:after="0" w:line="240" w:lineRule="auto"/>
        <w:rPr>
          <w:rFonts w:ascii="Arial" w:hAnsi="Arial" w:cs="Arial"/>
          <w:b/>
          <w:bCs/>
          <w:kern w:val="0"/>
        </w:rPr>
      </w:pPr>
      <w:r w:rsidRPr="00572A5D">
        <w:rPr>
          <w:rFonts w:ascii="Arial" w:hAnsi="Arial" w:cs="Arial"/>
          <w:b/>
          <w:bCs/>
          <w:kern w:val="0"/>
        </w:rPr>
        <w:t>Exhibit A – Page 15. Please provide the fixed fees for the previous 5 years (i.e.,</w:t>
      </w:r>
      <w:r w:rsidR="00C04E88" w:rsidRPr="00572A5D">
        <w:rPr>
          <w:rFonts w:ascii="Arial" w:hAnsi="Arial" w:cs="Arial"/>
          <w:b/>
          <w:bCs/>
          <w:kern w:val="0"/>
        </w:rPr>
        <w:t xml:space="preserve"> </w:t>
      </w:r>
      <w:r w:rsidRPr="00572A5D">
        <w:rPr>
          <w:rFonts w:ascii="Arial" w:hAnsi="Arial" w:cs="Arial"/>
          <w:b/>
          <w:bCs/>
          <w:kern w:val="0"/>
        </w:rPr>
        <w:t>2021-2025) for actuarial consulting services.</w:t>
      </w:r>
    </w:p>
    <w:p w14:paraId="24CB8A64" w14:textId="77777777" w:rsidR="00035D60" w:rsidRDefault="00035D60" w:rsidP="000B52AC">
      <w:pPr>
        <w:spacing w:after="0" w:line="240" w:lineRule="auto"/>
        <w:rPr>
          <w:rFonts w:ascii="Arial" w:hAnsi="Arial" w:cs="Arial"/>
          <w:kern w:val="0"/>
        </w:rPr>
      </w:pPr>
    </w:p>
    <w:p w14:paraId="20C04439" w14:textId="5AFFFA1E" w:rsidR="000B52AC" w:rsidRDefault="000B52AC" w:rsidP="000B52AC">
      <w:pPr>
        <w:autoSpaceDE w:val="0"/>
        <w:autoSpaceDN w:val="0"/>
        <w:adjustRightInd w:val="0"/>
        <w:spacing w:after="0" w:line="240" w:lineRule="auto"/>
        <w:ind w:left="720"/>
        <w:rPr>
          <w:rFonts w:ascii="Arial" w:hAnsi="Arial" w:cs="Arial"/>
          <w:kern w:val="0"/>
        </w:rPr>
      </w:pPr>
      <w:r w:rsidRPr="00DC3B4E">
        <w:rPr>
          <w:rFonts w:ascii="Arial" w:hAnsi="Arial" w:cs="Arial"/>
          <w:kern w:val="0"/>
        </w:rPr>
        <w:t xml:space="preserve">See </w:t>
      </w:r>
      <w:r w:rsidR="00AF26D2" w:rsidRPr="00DC3B4E">
        <w:rPr>
          <w:rFonts w:ascii="Arial" w:hAnsi="Arial" w:cs="Arial"/>
          <w:kern w:val="0"/>
        </w:rPr>
        <w:t xml:space="preserve">the </w:t>
      </w:r>
      <w:r w:rsidRPr="00DC3B4E">
        <w:rPr>
          <w:rFonts w:ascii="Arial" w:hAnsi="Arial" w:cs="Arial"/>
          <w:kern w:val="0"/>
        </w:rPr>
        <w:t>response to question #1</w:t>
      </w:r>
      <w:r w:rsidR="00636990" w:rsidRPr="00DC3B4E">
        <w:rPr>
          <w:rFonts w:ascii="Arial" w:hAnsi="Arial" w:cs="Arial"/>
          <w:kern w:val="0"/>
        </w:rPr>
        <w:t>1</w:t>
      </w:r>
      <w:r w:rsidR="005A62BC" w:rsidRPr="00DC3B4E">
        <w:rPr>
          <w:rFonts w:ascii="Arial" w:hAnsi="Arial" w:cs="Arial"/>
          <w:kern w:val="0"/>
        </w:rPr>
        <w:t xml:space="preserve"> for </w:t>
      </w:r>
      <w:r w:rsidR="00A03DFF" w:rsidRPr="00DC3B4E">
        <w:rPr>
          <w:rFonts w:ascii="Arial" w:hAnsi="Arial" w:cs="Arial"/>
          <w:kern w:val="0"/>
        </w:rPr>
        <w:t xml:space="preserve">the </w:t>
      </w:r>
      <w:r w:rsidR="005A62BC" w:rsidRPr="00DC3B4E">
        <w:rPr>
          <w:rFonts w:ascii="Arial" w:hAnsi="Arial" w:cs="Arial"/>
          <w:kern w:val="0"/>
        </w:rPr>
        <w:t>previous 3 years (2022-2024)</w:t>
      </w:r>
      <w:r w:rsidR="000E4689" w:rsidRPr="00DC3B4E">
        <w:rPr>
          <w:rFonts w:ascii="Arial" w:hAnsi="Arial" w:cs="Arial"/>
          <w:kern w:val="0"/>
        </w:rPr>
        <w:t>.</w:t>
      </w:r>
    </w:p>
    <w:p w14:paraId="3063EC4F" w14:textId="77777777" w:rsidR="00035D60" w:rsidRPr="00A532C8" w:rsidRDefault="00035D60" w:rsidP="005A62BC">
      <w:pPr>
        <w:spacing w:after="0" w:line="240" w:lineRule="auto"/>
        <w:rPr>
          <w:rFonts w:ascii="Arial" w:hAnsi="Arial" w:cs="Arial"/>
          <w:kern w:val="0"/>
        </w:rPr>
      </w:pPr>
    </w:p>
    <w:p w14:paraId="68C879A3" w14:textId="545EF3C4" w:rsidR="00035D60" w:rsidRDefault="00035D60" w:rsidP="00572A5D">
      <w:pPr>
        <w:pStyle w:val="ListParagraph"/>
        <w:numPr>
          <w:ilvl w:val="0"/>
          <w:numId w:val="2"/>
        </w:numPr>
        <w:autoSpaceDE w:val="0"/>
        <w:autoSpaceDN w:val="0"/>
        <w:adjustRightInd w:val="0"/>
        <w:spacing w:after="0" w:line="240" w:lineRule="auto"/>
        <w:rPr>
          <w:rFonts w:ascii="Arial" w:hAnsi="Arial" w:cs="Arial"/>
          <w:b/>
          <w:bCs/>
          <w:kern w:val="0"/>
        </w:rPr>
      </w:pPr>
      <w:r w:rsidRPr="00572A5D">
        <w:rPr>
          <w:rFonts w:ascii="Arial" w:hAnsi="Arial" w:cs="Arial"/>
          <w:b/>
          <w:bCs/>
          <w:kern w:val="0"/>
        </w:rPr>
        <w:t>Is this RFP being issued as part of SJCERA’s typical cycle? If not, is there a specific reason the RFP</w:t>
      </w:r>
      <w:r w:rsidR="00A532C8" w:rsidRPr="00572A5D">
        <w:rPr>
          <w:rFonts w:ascii="Arial" w:hAnsi="Arial" w:cs="Arial"/>
          <w:b/>
          <w:bCs/>
          <w:kern w:val="0"/>
        </w:rPr>
        <w:t xml:space="preserve"> </w:t>
      </w:r>
      <w:r w:rsidRPr="00572A5D">
        <w:rPr>
          <w:rFonts w:ascii="Arial" w:hAnsi="Arial" w:cs="Arial"/>
          <w:b/>
          <w:bCs/>
          <w:kern w:val="0"/>
        </w:rPr>
        <w:t>is being issued at this time? [Section I, page 3]</w:t>
      </w:r>
    </w:p>
    <w:p w14:paraId="53F6ECEE" w14:textId="77777777" w:rsidR="000B52AC" w:rsidRDefault="000B52AC" w:rsidP="000B52AC">
      <w:pPr>
        <w:pStyle w:val="ListParagraph"/>
        <w:autoSpaceDE w:val="0"/>
        <w:autoSpaceDN w:val="0"/>
        <w:adjustRightInd w:val="0"/>
        <w:spacing w:after="0" w:line="240" w:lineRule="auto"/>
        <w:rPr>
          <w:rFonts w:ascii="Arial" w:hAnsi="Arial" w:cs="Arial"/>
          <w:b/>
          <w:bCs/>
          <w:kern w:val="0"/>
        </w:rPr>
      </w:pPr>
    </w:p>
    <w:p w14:paraId="0081EC93" w14:textId="423091F0" w:rsidR="000B52AC" w:rsidRPr="000B52AC" w:rsidRDefault="000B52AC" w:rsidP="000B52AC">
      <w:pPr>
        <w:pStyle w:val="ListParagraph"/>
        <w:autoSpaceDE w:val="0"/>
        <w:autoSpaceDN w:val="0"/>
        <w:adjustRightInd w:val="0"/>
        <w:spacing w:after="0" w:line="240" w:lineRule="auto"/>
        <w:rPr>
          <w:rFonts w:ascii="Arial" w:hAnsi="Arial" w:cs="Arial"/>
          <w:kern w:val="0"/>
        </w:rPr>
      </w:pPr>
      <w:r w:rsidRPr="00DC3B4E">
        <w:rPr>
          <w:rFonts w:ascii="Arial" w:hAnsi="Arial" w:cs="Arial"/>
          <w:kern w:val="0"/>
        </w:rPr>
        <w:t>This RFP is being issued as part of SJCERA’s typical cycle.</w:t>
      </w:r>
    </w:p>
    <w:p w14:paraId="3B4AF62C" w14:textId="77777777" w:rsidR="00C04E88" w:rsidRPr="00572A5D" w:rsidRDefault="00C04E88" w:rsidP="00035D60">
      <w:pPr>
        <w:autoSpaceDE w:val="0"/>
        <w:autoSpaceDN w:val="0"/>
        <w:adjustRightInd w:val="0"/>
        <w:spacing w:after="0" w:line="240" w:lineRule="auto"/>
        <w:rPr>
          <w:rFonts w:ascii="Arial" w:hAnsi="Arial" w:cs="Arial"/>
          <w:b/>
          <w:bCs/>
          <w:kern w:val="0"/>
        </w:rPr>
      </w:pPr>
    </w:p>
    <w:p w14:paraId="50A90327" w14:textId="0C7F80EE" w:rsidR="00035D60" w:rsidRDefault="000B52AC" w:rsidP="000B52AC">
      <w:pPr>
        <w:pStyle w:val="ListParagraph"/>
        <w:numPr>
          <w:ilvl w:val="0"/>
          <w:numId w:val="2"/>
        </w:numPr>
        <w:autoSpaceDE w:val="0"/>
        <w:autoSpaceDN w:val="0"/>
        <w:adjustRightInd w:val="0"/>
        <w:spacing w:after="0" w:line="240" w:lineRule="auto"/>
        <w:jc w:val="both"/>
        <w:rPr>
          <w:rFonts w:ascii="Arial" w:hAnsi="Arial" w:cs="Arial"/>
          <w:b/>
          <w:bCs/>
          <w:kern w:val="0"/>
        </w:rPr>
      </w:pPr>
      <w:r>
        <w:rPr>
          <w:rFonts w:ascii="Arial" w:hAnsi="Arial" w:cs="Arial"/>
          <w:kern w:val="0"/>
        </w:rPr>
        <w:t xml:space="preserve"> </w:t>
      </w:r>
      <w:r w:rsidR="00035D60" w:rsidRPr="000B52AC">
        <w:rPr>
          <w:rFonts w:ascii="Arial" w:hAnsi="Arial" w:cs="Arial"/>
          <w:b/>
          <w:bCs/>
          <w:kern w:val="0"/>
        </w:rPr>
        <w:t>Will SJCERA give consideration to including a clearly stated, negotiated contractual limit of liability in</w:t>
      </w:r>
      <w:r w:rsidR="00A532C8" w:rsidRPr="000B52AC">
        <w:rPr>
          <w:rFonts w:ascii="Arial" w:hAnsi="Arial" w:cs="Arial"/>
          <w:b/>
          <w:bCs/>
          <w:kern w:val="0"/>
        </w:rPr>
        <w:t xml:space="preserve"> </w:t>
      </w:r>
      <w:r w:rsidR="00035D60" w:rsidRPr="000B52AC">
        <w:rPr>
          <w:rFonts w:ascii="Arial" w:hAnsi="Arial" w:cs="Arial"/>
          <w:b/>
          <w:bCs/>
          <w:kern w:val="0"/>
        </w:rPr>
        <w:t>the final contract (with the negotiated limit being waived in the event of gross negligence or willful</w:t>
      </w:r>
      <w:r w:rsidR="00A532C8" w:rsidRPr="000B52AC">
        <w:rPr>
          <w:rFonts w:ascii="Arial" w:hAnsi="Arial" w:cs="Arial"/>
          <w:b/>
          <w:bCs/>
          <w:kern w:val="0"/>
        </w:rPr>
        <w:t xml:space="preserve"> </w:t>
      </w:r>
      <w:r w:rsidR="00035D60" w:rsidRPr="000B52AC">
        <w:rPr>
          <w:rFonts w:ascii="Arial" w:hAnsi="Arial" w:cs="Arial"/>
          <w:b/>
          <w:bCs/>
          <w:kern w:val="0"/>
        </w:rPr>
        <w:t>misconduct)? If such a limitation would be considered, would this be viewed negatively relative to</w:t>
      </w:r>
      <w:r w:rsidR="00A532C8" w:rsidRPr="000B52AC">
        <w:rPr>
          <w:rFonts w:ascii="Arial" w:hAnsi="Arial" w:cs="Arial"/>
          <w:b/>
          <w:bCs/>
          <w:kern w:val="0"/>
        </w:rPr>
        <w:t xml:space="preserve"> </w:t>
      </w:r>
      <w:r w:rsidR="00035D60" w:rsidRPr="000B52AC">
        <w:rPr>
          <w:rFonts w:ascii="Arial" w:hAnsi="Arial" w:cs="Arial"/>
          <w:b/>
          <w:bCs/>
          <w:kern w:val="0"/>
        </w:rPr>
        <w:t>other proposers not requesting a limitation of liability? [Section VII, pages 13-14]</w:t>
      </w:r>
    </w:p>
    <w:p w14:paraId="39F96701" w14:textId="77777777" w:rsidR="000B52AC" w:rsidRDefault="000B52AC" w:rsidP="000B52AC">
      <w:pPr>
        <w:pStyle w:val="ListParagraph"/>
        <w:autoSpaceDE w:val="0"/>
        <w:autoSpaceDN w:val="0"/>
        <w:adjustRightInd w:val="0"/>
        <w:spacing w:after="0" w:line="240" w:lineRule="auto"/>
        <w:jc w:val="both"/>
        <w:rPr>
          <w:rFonts w:ascii="Arial" w:hAnsi="Arial" w:cs="Arial"/>
          <w:b/>
          <w:bCs/>
          <w:kern w:val="0"/>
        </w:rPr>
      </w:pPr>
    </w:p>
    <w:p w14:paraId="5B00E331" w14:textId="191F2F1E" w:rsidR="000B52AC" w:rsidRPr="000B52AC" w:rsidRDefault="000E4689" w:rsidP="000B52AC">
      <w:pPr>
        <w:pStyle w:val="ListParagraph"/>
        <w:autoSpaceDE w:val="0"/>
        <w:autoSpaceDN w:val="0"/>
        <w:adjustRightInd w:val="0"/>
        <w:spacing w:after="0" w:line="240" w:lineRule="auto"/>
        <w:jc w:val="both"/>
        <w:rPr>
          <w:rFonts w:ascii="Arial" w:hAnsi="Arial" w:cs="Arial"/>
          <w:kern w:val="0"/>
        </w:rPr>
      </w:pPr>
      <w:r w:rsidRPr="00DC3B4E">
        <w:rPr>
          <w:rFonts w:ascii="Arial" w:hAnsi="Arial" w:cs="Arial"/>
          <w:kern w:val="0"/>
        </w:rPr>
        <w:t xml:space="preserve">Yes, we will give </w:t>
      </w:r>
      <w:r w:rsidR="00A03DFF" w:rsidRPr="00DC3B4E">
        <w:rPr>
          <w:rFonts w:ascii="Arial" w:hAnsi="Arial" w:cs="Arial"/>
          <w:kern w:val="0"/>
        </w:rPr>
        <w:t>consideration,</w:t>
      </w:r>
      <w:r w:rsidRPr="00DC3B4E">
        <w:rPr>
          <w:rFonts w:ascii="Arial" w:hAnsi="Arial" w:cs="Arial"/>
          <w:kern w:val="0"/>
        </w:rPr>
        <w:t xml:space="preserve"> </w:t>
      </w:r>
      <w:r w:rsidR="005B30A6" w:rsidRPr="00DC3B4E">
        <w:rPr>
          <w:rFonts w:ascii="Arial" w:hAnsi="Arial" w:cs="Arial"/>
          <w:kern w:val="0"/>
        </w:rPr>
        <w:t>but</w:t>
      </w:r>
      <w:r w:rsidRPr="00DC3B4E">
        <w:rPr>
          <w:rFonts w:ascii="Arial" w:hAnsi="Arial" w:cs="Arial"/>
          <w:kern w:val="0"/>
        </w:rPr>
        <w:t xml:space="preserve"> it would be viewed negatively</w:t>
      </w:r>
      <w:r w:rsidR="00EE5781" w:rsidRPr="00DC3B4E">
        <w:rPr>
          <w:rFonts w:ascii="Arial" w:hAnsi="Arial" w:cs="Arial"/>
          <w:kern w:val="0"/>
        </w:rPr>
        <w:t xml:space="preserve"> in comparison to those who would not require it</w:t>
      </w:r>
      <w:r w:rsidRPr="00DC3B4E">
        <w:rPr>
          <w:rFonts w:ascii="Arial" w:hAnsi="Arial" w:cs="Arial"/>
          <w:kern w:val="0"/>
        </w:rPr>
        <w:t>.</w:t>
      </w:r>
    </w:p>
    <w:p w14:paraId="419E78CB" w14:textId="77777777" w:rsidR="00C04E88" w:rsidRDefault="00C04E88" w:rsidP="00035D60">
      <w:pPr>
        <w:autoSpaceDE w:val="0"/>
        <w:autoSpaceDN w:val="0"/>
        <w:adjustRightInd w:val="0"/>
        <w:spacing w:after="0" w:line="240" w:lineRule="auto"/>
        <w:rPr>
          <w:rFonts w:ascii="Arial" w:hAnsi="Arial" w:cs="Arial"/>
          <w:kern w:val="0"/>
        </w:rPr>
      </w:pPr>
    </w:p>
    <w:p w14:paraId="13CBB9C2" w14:textId="095F8F3A" w:rsidR="00035D60" w:rsidRPr="000B52AC" w:rsidRDefault="000B52AC" w:rsidP="00FB346D">
      <w:pPr>
        <w:pStyle w:val="ListParagraph"/>
        <w:numPr>
          <w:ilvl w:val="0"/>
          <w:numId w:val="2"/>
        </w:numPr>
        <w:autoSpaceDE w:val="0"/>
        <w:autoSpaceDN w:val="0"/>
        <w:adjustRightInd w:val="0"/>
        <w:spacing w:after="0" w:line="240" w:lineRule="auto"/>
        <w:jc w:val="both"/>
        <w:rPr>
          <w:rFonts w:ascii="Arial" w:hAnsi="Arial" w:cs="Arial"/>
          <w:b/>
          <w:bCs/>
          <w:kern w:val="0"/>
        </w:rPr>
      </w:pPr>
      <w:r>
        <w:rPr>
          <w:rFonts w:ascii="Arial" w:hAnsi="Arial" w:cs="Arial"/>
          <w:kern w:val="0"/>
        </w:rPr>
        <w:t xml:space="preserve"> </w:t>
      </w:r>
      <w:r w:rsidR="00035D60" w:rsidRPr="000B52AC">
        <w:rPr>
          <w:rFonts w:ascii="Arial" w:hAnsi="Arial" w:cs="Arial"/>
          <w:b/>
          <w:bCs/>
          <w:kern w:val="0"/>
        </w:rPr>
        <w:t>Will SJCERA provide a breakdown of fees for the each of last three years? [Section V C subsection 7,</w:t>
      </w:r>
      <w:r w:rsidR="00A532C8" w:rsidRPr="000B52AC">
        <w:rPr>
          <w:rFonts w:ascii="Arial" w:hAnsi="Arial" w:cs="Arial"/>
          <w:b/>
          <w:bCs/>
          <w:kern w:val="0"/>
        </w:rPr>
        <w:t xml:space="preserve"> </w:t>
      </w:r>
      <w:r w:rsidR="00035D60" w:rsidRPr="000B52AC">
        <w:rPr>
          <w:rFonts w:ascii="Arial" w:hAnsi="Arial" w:cs="Arial"/>
          <w:b/>
          <w:bCs/>
          <w:kern w:val="0"/>
        </w:rPr>
        <w:t>page 11]</w:t>
      </w:r>
    </w:p>
    <w:p w14:paraId="09A20A3E" w14:textId="77777777" w:rsidR="00035D60" w:rsidRPr="000B52AC" w:rsidRDefault="00035D60" w:rsidP="00FB346D">
      <w:pPr>
        <w:autoSpaceDE w:val="0"/>
        <w:autoSpaceDN w:val="0"/>
        <w:adjustRightInd w:val="0"/>
        <w:spacing w:after="0" w:line="240" w:lineRule="auto"/>
        <w:ind w:firstLine="720"/>
        <w:jc w:val="both"/>
        <w:rPr>
          <w:rFonts w:ascii="Arial" w:hAnsi="Arial" w:cs="Arial"/>
          <w:b/>
          <w:bCs/>
          <w:kern w:val="0"/>
        </w:rPr>
      </w:pPr>
      <w:r w:rsidRPr="000B52AC">
        <w:rPr>
          <w:rFonts w:ascii="Arial" w:hAnsi="Arial" w:cs="Arial"/>
          <w:b/>
          <w:bCs/>
          <w:kern w:val="0"/>
        </w:rPr>
        <w:t>• Fixed fee costs</w:t>
      </w:r>
    </w:p>
    <w:p w14:paraId="286F99EF" w14:textId="77777777" w:rsidR="00035D60" w:rsidRPr="000B52AC" w:rsidRDefault="00035D60" w:rsidP="00FB346D">
      <w:pPr>
        <w:autoSpaceDE w:val="0"/>
        <w:autoSpaceDN w:val="0"/>
        <w:adjustRightInd w:val="0"/>
        <w:spacing w:after="0" w:line="240" w:lineRule="auto"/>
        <w:ind w:firstLine="720"/>
        <w:jc w:val="both"/>
        <w:rPr>
          <w:rFonts w:ascii="Arial" w:hAnsi="Arial" w:cs="Arial"/>
          <w:b/>
          <w:bCs/>
          <w:kern w:val="0"/>
        </w:rPr>
      </w:pPr>
      <w:r w:rsidRPr="000B52AC">
        <w:rPr>
          <w:rFonts w:ascii="Arial" w:hAnsi="Arial" w:cs="Arial"/>
          <w:b/>
          <w:bCs/>
          <w:kern w:val="0"/>
        </w:rPr>
        <w:t>• Costs outside of fixed fee including a description of the projects</w:t>
      </w:r>
    </w:p>
    <w:p w14:paraId="7331EF97" w14:textId="5C711C25" w:rsidR="00035D60" w:rsidRDefault="00035D60" w:rsidP="00FB346D">
      <w:pPr>
        <w:ind w:firstLine="720"/>
        <w:jc w:val="both"/>
        <w:rPr>
          <w:rFonts w:ascii="Arial" w:hAnsi="Arial" w:cs="Arial"/>
          <w:b/>
          <w:bCs/>
          <w:kern w:val="0"/>
        </w:rPr>
      </w:pPr>
      <w:r w:rsidRPr="000B52AC">
        <w:rPr>
          <w:rFonts w:ascii="Arial" w:hAnsi="Arial" w:cs="Arial"/>
          <w:b/>
          <w:bCs/>
          <w:kern w:val="0"/>
        </w:rPr>
        <w:t>• Hourly rates charged.</w:t>
      </w:r>
    </w:p>
    <w:tbl>
      <w:tblPr>
        <w:tblW w:w="8065" w:type="dxa"/>
        <w:tblInd w:w="755" w:type="dxa"/>
        <w:tblLook w:val="04A0" w:firstRow="1" w:lastRow="0" w:firstColumn="1" w:lastColumn="0" w:noHBand="0" w:noVBand="1"/>
      </w:tblPr>
      <w:tblGrid>
        <w:gridCol w:w="4000"/>
        <w:gridCol w:w="1280"/>
        <w:gridCol w:w="1340"/>
        <w:gridCol w:w="1445"/>
      </w:tblGrid>
      <w:tr w:rsidR="00E22551" w:rsidRPr="00E22551" w14:paraId="2B10FDA0" w14:textId="77777777" w:rsidTr="00E22551">
        <w:trPr>
          <w:trHeight w:val="290"/>
        </w:trPr>
        <w:tc>
          <w:tcPr>
            <w:tcW w:w="4000" w:type="dxa"/>
            <w:tcBorders>
              <w:top w:val="nil"/>
              <w:left w:val="nil"/>
              <w:bottom w:val="nil"/>
              <w:right w:val="nil"/>
            </w:tcBorders>
            <w:shd w:val="clear" w:color="auto" w:fill="auto"/>
            <w:noWrap/>
            <w:vAlign w:val="bottom"/>
            <w:hideMark/>
          </w:tcPr>
          <w:p w14:paraId="379AA98B" w14:textId="77777777" w:rsidR="00E22551" w:rsidRPr="00E22551" w:rsidRDefault="00E22551" w:rsidP="00E22551">
            <w:pPr>
              <w:spacing w:after="0" w:line="240" w:lineRule="auto"/>
              <w:rPr>
                <w:rFonts w:ascii="Times New Roman" w:eastAsia="Times New Roman" w:hAnsi="Times New Roman" w:cs="Times New Roman"/>
                <w:kern w:val="0"/>
                <w14:ligatures w14:val="none"/>
              </w:rPr>
            </w:pPr>
          </w:p>
        </w:tc>
        <w:tc>
          <w:tcPr>
            <w:tcW w:w="1280" w:type="dxa"/>
            <w:tcBorders>
              <w:top w:val="nil"/>
              <w:left w:val="nil"/>
              <w:bottom w:val="nil"/>
              <w:right w:val="nil"/>
            </w:tcBorders>
            <w:shd w:val="clear" w:color="auto" w:fill="auto"/>
            <w:noWrap/>
            <w:vAlign w:val="bottom"/>
            <w:hideMark/>
          </w:tcPr>
          <w:p w14:paraId="4366FC2F"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u w:val="single"/>
                <w14:ligatures w14:val="none"/>
              </w:rPr>
            </w:pPr>
            <w:r w:rsidRPr="00E22551">
              <w:rPr>
                <w:rFonts w:ascii="Aptos Narrow" w:eastAsia="Times New Roman" w:hAnsi="Aptos Narrow" w:cs="Times New Roman"/>
                <w:color w:val="000000"/>
                <w:kern w:val="0"/>
                <w:sz w:val="22"/>
                <w:szCs w:val="22"/>
                <w:u w:val="single"/>
                <w14:ligatures w14:val="none"/>
              </w:rPr>
              <w:t>2022</w:t>
            </w:r>
          </w:p>
        </w:tc>
        <w:tc>
          <w:tcPr>
            <w:tcW w:w="1340" w:type="dxa"/>
            <w:tcBorders>
              <w:top w:val="nil"/>
              <w:left w:val="nil"/>
              <w:bottom w:val="nil"/>
              <w:right w:val="nil"/>
            </w:tcBorders>
            <w:shd w:val="clear" w:color="auto" w:fill="auto"/>
            <w:noWrap/>
            <w:vAlign w:val="bottom"/>
            <w:hideMark/>
          </w:tcPr>
          <w:p w14:paraId="60E563E0"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u w:val="single"/>
                <w14:ligatures w14:val="none"/>
              </w:rPr>
            </w:pPr>
            <w:r w:rsidRPr="00E22551">
              <w:rPr>
                <w:rFonts w:ascii="Aptos Narrow" w:eastAsia="Times New Roman" w:hAnsi="Aptos Narrow" w:cs="Times New Roman"/>
                <w:color w:val="000000"/>
                <w:kern w:val="0"/>
                <w:sz w:val="22"/>
                <w:szCs w:val="22"/>
                <w:u w:val="single"/>
                <w14:ligatures w14:val="none"/>
              </w:rPr>
              <w:t>2023</w:t>
            </w:r>
          </w:p>
        </w:tc>
        <w:tc>
          <w:tcPr>
            <w:tcW w:w="1445" w:type="dxa"/>
            <w:tcBorders>
              <w:top w:val="nil"/>
              <w:left w:val="nil"/>
              <w:bottom w:val="nil"/>
              <w:right w:val="nil"/>
            </w:tcBorders>
            <w:shd w:val="clear" w:color="auto" w:fill="auto"/>
            <w:noWrap/>
            <w:vAlign w:val="bottom"/>
            <w:hideMark/>
          </w:tcPr>
          <w:p w14:paraId="5B35692E"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u w:val="single"/>
                <w14:ligatures w14:val="none"/>
              </w:rPr>
            </w:pPr>
            <w:r w:rsidRPr="00E22551">
              <w:rPr>
                <w:rFonts w:ascii="Aptos Narrow" w:eastAsia="Times New Roman" w:hAnsi="Aptos Narrow" w:cs="Times New Roman"/>
                <w:color w:val="000000"/>
                <w:kern w:val="0"/>
                <w:sz w:val="22"/>
                <w:szCs w:val="22"/>
                <w:u w:val="single"/>
                <w14:ligatures w14:val="none"/>
              </w:rPr>
              <w:t>2024</w:t>
            </w:r>
          </w:p>
        </w:tc>
      </w:tr>
      <w:tr w:rsidR="00E22551" w:rsidRPr="00E22551" w14:paraId="04F31DFC" w14:textId="77777777" w:rsidTr="00E22551">
        <w:trPr>
          <w:trHeight w:val="420"/>
        </w:trPr>
        <w:tc>
          <w:tcPr>
            <w:tcW w:w="4000" w:type="dxa"/>
            <w:tcBorders>
              <w:top w:val="nil"/>
              <w:left w:val="nil"/>
              <w:bottom w:val="nil"/>
              <w:right w:val="nil"/>
            </w:tcBorders>
            <w:shd w:val="clear" w:color="auto" w:fill="auto"/>
            <w:noWrap/>
            <w:vAlign w:val="bottom"/>
            <w:hideMark/>
          </w:tcPr>
          <w:p w14:paraId="45DEBCE4"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Fixed Fee</w:t>
            </w:r>
          </w:p>
        </w:tc>
        <w:tc>
          <w:tcPr>
            <w:tcW w:w="1280" w:type="dxa"/>
            <w:tcBorders>
              <w:top w:val="nil"/>
              <w:left w:val="nil"/>
              <w:bottom w:val="nil"/>
              <w:right w:val="nil"/>
            </w:tcBorders>
            <w:shd w:val="clear" w:color="auto" w:fill="auto"/>
            <w:noWrap/>
            <w:vAlign w:val="bottom"/>
            <w:hideMark/>
          </w:tcPr>
          <w:p w14:paraId="0D014189"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$157,400</w:t>
            </w:r>
          </w:p>
        </w:tc>
        <w:tc>
          <w:tcPr>
            <w:tcW w:w="1340" w:type="dxa"/>
            <w:tcBorders>
              <w:top w:val="nil"/>
              <w:left w:val="nil"/>
              <w:bottom w:val="nil"/>
              <w:right w:val="nil"/>
            </w:tcBorders>
            <w:shd w:val="clear" w:color="auto" w:fill="auto"/>
            <w:noWrap/>
            <w:vAlign w:val="bottom"/>
            <w:hideMark/>
          </w:tcPr>
          <w:p w14:paraId="043BDBEC"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$101,655</w:t>
            </w:r>
          </w:p>
        </w:tc>
        <w:tc>
          <w:tcPr>
            <w:tcW w:w="1445" w:type="dxa"/>
            <w:tcBorders>
              <w:top w:val="nil"/>
              <w:left w:val="nil"/>
              <w:bottom w:val="nil"/>
              <w:right w:val="nil"/>
            </w:tcBorders>
            <w:shd w:val="clear" w:color="auto" w:fill="auto"/>
            <w:noWrap/>
            <w:vAlign w:val="bottom"/>
            <w:hideMark/>
          </w:tcPr>
          <w:p w14:paraId="0770943A"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$104,150</w:t>
            </w:r>
          </w:p>
        </w:tc>
      </w:tr>
      <w:tr w:rsidR="00E22551" w:rsidRPr="00E22551" w14:paraId="3F1754AD" w14:textId="77777777" w:rsidTr="00E22551">
        <w:trPr>
          <w:trHeight w:val="360"/>
        </w:trPr>
        <w:tc>
          <w:tcPr>
            <w:tcW w:w="4000" w:type="dxa"/>
            <w:tcBorders>
              <w:top w:val="nil"/>
              <w:left w:val="nil"/>
              <w:bottom w:val="nil"/>
              <w:right w:val="nil"/>
            </w:tcBorders>
            <w:shd w:val="clear" w:color="auto" w:fill="auto"/>
            <w:noWrap/>
            <w:vAlign w:val="bottom"/>
            <w:hideMark/>
          </w:tcPr>
          <w:p w14:paraId="7DD206C3"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Hourly Rate Range</w:t>
            </w:r>
          </w:p>
        </w:tc>
        <w:tc>
          <w:tcPr>
            <w:tcW w:w="1280" w:type="dxa"/>
            <w:tcBorders>
              <w:top w:val="nil"/>
              <w:left w:val="nil"/>
              <w:bottom w:val="nil"/>
              <w:right w:val="nil"/>
            </w:tcBorders>
            <w:shd w:val="clear" w:color="auto" w:fill="auto"/>
            <w:noWrap/>
            <w:vAlign w:val="bottom"/>
            <w:hideMark/>
          </w:tcPr>
          <w:p w14:paraId="7D5A6C35"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$125 - $460</w:t>
            </w:r>
          </w:p>
        </w:tc>
        <w:tc>
          <w:tcPr>
            <w:tcW w:w="1340" w:type="dxa"/>
            <w:tcBorders>
              <w:top w:val="nil"/>
              <w:left w:val="nil"/>
              <w:bottom w:val="nil"/>
              <w:right w:val="nil"/>
            </w:tcBorders>
            <w:shd w:val="clear" w:color="auto" w:fill="auto"/>
            <w:noWrap/>
            <w:vAlign w:val="bottom"/>
            <w:hideMark/>
          </w:tcPr>
          <w:p w14:paraId="10F639BF"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$130 - $480</w:t>
            </w:r>
          </w:p>
        </w:tc>
        <w:tc>
          <w:tcPr>
            <w:tcW w:w="1445" w:type="dxa"/>
            <w:tcBorders>
              <w:top w:val="nil"/>
              <w:left w:val="nil"/>
              <w:bottom w:val="nil"/>
              <w:right w:val="nil"/>
            </w:tcBorders>
            <w:shd w:val="clear" w:color="auto" w:fill="auto"/>
            <w:noWrap/>
            <w:vAlign w:val="bottom"/>
            <w:hideMark/>
          </w:tcPr>
          <w:p w14:paraId="51121E0A" w14:textId="77777777" w:rsidR="00E22551" w:rsidRPr="00E22551" w:rsidRDefault="00E22551" w:rsidP="00E22551">
            <w:pPr>
              <w:spacing w:after="0" w:line="240" w:lineRule="auto"/>
              <w:jc w:val="center"/>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$135 - $490</w:t>
            </w:r>
          </w:p>
        </w:tc>
      </w:tr>
      <w:tr w:rsidR="00E22551" w:rsidRPr="00E22551" w14:paraId="3EC88A8C" w14:textId="77777777" w:rsidTr="00E22551">
        <w:trPr>
          <w:trHeight w:val="450"/>
        </w:trPr>
        <w:tc>
          <w:tcPr>
            <w:tcW w:w="4000" w:type="dxa"/>
            <w:tcBorders>
              <w:top w:val="nil"/>
              <w:left w:val="nil"/>
              <w:bottom w:val="nil"/>
              <w:right w:val="nil"/>
            </w:tcBorders>
            <w:shd w:val="clear" w:color="auto" w:fill="auto"/>
            <w:noWrap/>
            <w:vAlign w:val="bottom"/>
            <w:hideMark/>
          </w:tcPr>
          <w:p w14:paraId="7D185207"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Costs and description outside fixed fee:</w:t>
            </w:r>
          </w:p>
        </w:tc>
        <w:tc>
          <w:tcPr>
            <w:tcW w:w="1280" w:type="dxa"/>
            <w:tcBorders>
              <w:top w:val="nil"/>
              <w:left w:val="nil"/>
              <w:bottom w:val="nil"/>
              <w:right w:val="nil"/>
            </w:tcBorders>
            <w:shd w:val="clear" w:color="auto" w:fill="auto"/>
            <w:noWrap/>
            <w:vAlign w:val="bottom"/>
            <w:hideMark/>
          </w:tcPr>
          <w:p w14:paraId="290FC6F0"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p>
        </w:tc>
        <w:tc>
          <w:tcPr>
            <w:tcW w:w="1340" w:type="dxa"/>
            <w:tcBorders>
              <w:top w:val="nil"/>
              <w:left w:val="nil"/>
              <w:bottom w:val="nil"/>
              <w:right w:val="nil"/>
            </w:tcBorders>
            <w:shd w:val="clear" w:color="auto" w:fill="auto"/>
            <w:noWrap/>
            <w:vAlign w:val="bottom"/>
            <w:hideMark/>
          </w:tcPr>
          <w:p w14:paraId="5D4FAA58" w14:textId="77777777" w:rsidR="00E22551" w:rsidRPr="00E22551" w:rsidRDefault="00E22551" w:rsidP="00E22551">
            <w:pPr>
              <w:spacing w:after="0" w:line="240" w:lineRule="auto"/>
              <w:rPr>
                <w:rFonts w:ascii="Times New Roman" w:eastAsia="Times New Roman" w:hAnsi="Times New Roman" w:cs="Times New Roman"/>
                <w:kern w:val="0"/>
                <w:sz w:val="20"/>
                <w:szCs w:val="20"/>
                <w14:ligatures w14:val="none"/>
              </w:rPr>
            </w:pPr>
          </w:p>
        </w:tc>
        <w:tc>
          <w:tcPr>
            <w:tcW w:w="1445" w:type="dxa"/>
            <w:tcBorders>
              <w:top w:val="nil"/>
              <w:left w:val="nil"/>
              <w:bottom w:val="nil"/>
              <w:right w:val="nil"/>
            </w:tcBorders>
            <w:shd w:val="clear" w:color="auto" w:fill="auto"/>
            <w:noWrap/>
            <w:vAlign w:val="bottom"/>
            <w:hideMark/>
          </w:tcPr>
          <w:p w14:paraId="5446E4E8" w14:textId="77777777" w:rsidR="00E22551" w:rsidRPr="00E22551" w:rsidRDefault="00E22551" w:rsidP="00E22551">
            <w:pPr>
              <w:spacing w:after="0" w:line="240" w:lineRule="auto"/>
              <w:rPr>
                <w:rFonts w:ascii="Times New Roman" w:eastAsia="Times New Roman" w:hAnsi="Times New Roman" w:cs="Times New Roman"/>
                <w:kern w:val="0"/>
                <w:sz w:val="20"/>
                <w:szCs w:val="20"/>
                <w14:ligatures w14:val="none"/>
              </w:rPr>
            </w:pPr>
          </w:p>
        </w:tc>
      </w:tr>
      <w:tr w:rsidR="00E22551" w:rsidRPr="00E22551" w14:paraId="53079334" w14:textId="77777777" w:rsidTr="00E22551">
        <w:trPr>
          <w:trHeight w:val="290"/>
        </w:trPr>
        <w:tc>
          <w:tcPr>
            <w:tcW w:w="4000" w:type="dxa"/>
            <w:tcBorders>
              <w:top w:val="nil"/>
              <w:left w:val="nil"/>
              <w:bottom w:val="nil"/>
              <w:right w:val="nil"/>
            </w:tcBorders>
            <w:shd w:val="clear" w:color="auto" w:fill="auto"/>
            <w:noWrap/>
            <w:vAlign w:val="bottom"/>
            <w:hideMark/>
          </w:tcPr>
          <w:p w14:paraId="2E77F6C6"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CPA Auditor Request</w:t>
            </w:r>
          </w:p>
        </w:tc>
        <w:tc>
          <w:tcPr>
            <w:tcW w:w="1280" w:type="dxa"/>
            <w:tcBorders>
              <w:top w:val="nil"/>
              <w:left w:val="nil"/>
              <w:bottom w:val="nil"/>
              <w:right w:val="nil"/>
            </w:tcBorders>
            <w:shd w:val="clear" w:color="auto" w:fill="auto"/>
            <w:noWrap/>
            <w:vAlign w:val="bottom"/>
            <w:hideMark/>
          </w:tcPr>
          <w:p w14:paraId="4B42E292"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340" w:type="dxa"/>
            <w:tcBorders>
              <w:top w:val="nil"/>
              <w:left w:val="nil"/>
              <w:bottom w:val="nil"/>
              <w:right w:val="nil"/>
            </w:tcBorders>
            <w:shd w:val="clear" w:color="auto" w:fill="auto"/>
            <w:noWrap/>
            <w:vAlign w:val="bottom"/>
            <w:hideMark/>
          </w:tcPr>
          <w:p w14:paraId="5FFAD04E"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445" w:type="dxa"/>
            <w:tcBorders>
              <w:top w:val="nil"/>
              <w:left w:val="nil"/>
              <w:bottom w:val="nil"/>
              <w:right w:val="nil"/>
            </w:tcBorders>
            <w:shd w:val="clear" w:color="auto" w:fill="auto"/>
            <w:noWrap/>
            <w:vAlign w:val="bottom"/>
            <w:hideMark/>
          </w:tcPr>
          <w:p w14:paraId="3416354D"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$1,940</w:t>
            </w:r>
          </w:p>
        </w:tc>
      </w:tr>
      <w:tr w:rsidR="00E22551" w:rsidRPr="00E22551" w14:paraId="37FBBE80" w14:textId="77777777" w:rsidTr="00E22551">
        <w:trPr>
          <w:trHeight w:val="290"/>
        </w:trPr>
        <w:tc>
          <w:tcPr>
            <w:tcW w:w="4000" w:type="dxa"/>
            <w:tcBorders>
              <w:top w:val="nil"/>
              <w:left w:val="nil"/>
              <w:bottom w:val="nil"/>
              <w:right w:val="nil"/>
            </w:tcBorders>
            <w:shd w:val="clear" w:color="auto" w:fill="auto"/>
            <w:noWrap/>
            <w:vAlign w:val="bottom"/>
            <w:hideMark/>
          </w:tcPr>
          <w:p w14:paraId="64A70FA0"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Special Benefit Calculation</w:t>
            </w:r>
          </w:p>
        </w:tc>
        <w:tc>
          <w:tcPr>
            <w:tcW w:w="1280" w:type="dxa"/>
            <w:tcBorders>
              <w:top w:val="nil"/>
              <w:left w:val="nil"/>
              <w:bottom w:val="nil"/>
              <w:right w:val="nil"/>
            </w:tcBorders>
            <w:shd w:val="clear" w:color="auto" w:fill="auto"/>
            <w:noWrap/>
            <w:vAlign w:val="bottom"/>
            <w:hideMark/>
          </w:tcPr>
          <w:p w14:paraId="780F4FE1"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$10,423</w:t>
            </w:r>
          </w:p>
        </w:tc>
        <w:tc>
          <w:tcPr>
            <w:tcW w:w="1340" w:type="dxa"/>
            <w:tcBorders>
              <w:top w:val="nil"/>
              <w:left w:val="nil"/>
              <w:bottom w:val="nil"/>
              <w:right w:val="nil"/>
            </w:tcBorders>
            <w:shd w:val="clear" w:color="auto" w:fill="auto"/>
            <w:noWrap/>
            <w:vAlign w:val="bottom"/>
            <w:hideMark/>
          </w:tcPr>
          <w:p w14:paraId="7E785402"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445" w:type="dxa"/>
            <w:tcBorders>
              <w:top w:val="nil"/>
              <w:left w:val="nil"/>
              <w:bottom w:val="nil"/>
              <w:right w:val="nil"/>
            </w:tcBorders>
            <w:shd w:val="clear" w:color="auto" w:fill="auto"/>
            <w:noWrap/>
            <w:vAlign w:val="bottom"/>
            <w:hideMark/>
          </w:tcPr>
          <w:p w14:paraId="693BD8DE"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$16,734</w:t>
            </w:r>
          </w:p>
        </w:tc>
      </w:tr>
      <w:tr w:rsidR="00E22551" w:rsidRPr="00E22551" w14:paraId="7F0FA2C3" w14:textId="77777777" w:rsidTr="00E22551">
        <w:trPr>
          <w:trHeight w:val="290"/>
        </w:trPr>
        <w:tc>
          <w:tcPr>
            <w:tcW w:w="4000" w:type="dxa"/>
            <w:tcBorders>
              <w:top w:val="nil"/>
              <w:left w:val="nil"/>
              <w:bottom w:val="nil"/>
              <w:right w:val="nil"/>
            </w:tcBorders>
            <w:shd w:val="clear" w:color="auto" w:fill="auto"/>
            <w:noWrap/>
            <w:vAlign w:val="bottom"/>
            <w:hideMark/>
          </w:tcPr>
          <w:p w14:paraId="4FC80605"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Capital Market Assumption &amp; Presentation</w:t>
            </w:r>
          </w:p>
        </w:tc>
        <w:tc>
          <w:tcPr>
            <w:tcW w:w="1280" w:type="dxa"/>
            <w:tcBorders>
              <w:top w:val="nil"/>
              <w:left w:val="nil"/>
              <w:bottom w:val="nil"/>
              <w:right w:val="nil"/>
            </w:tcBorders>
            <w:shd w:val="clear" w:color="auto" w:fill="auto"/>
            <w:noWrap/>
            <w:vAlign w:val="bottom"/>
            <w:hideMark/>
          </w:tcPr>
          <w:p w14:paraId="479BDFA2"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340" w:type="dxa"/>
            <w:tcBorders>
              <w:top w:val="nil"/>
              <w:left w:val="nil"/>
              <w:bottom w:val="nil"/>
              <w:right w:val="nil"/>
            </w:tcBorders>
            <w:shd w:val="clear" w:color="auto" w:fill="auto"/>
            <w:noWrap/>
            <w:vAlign w:val="bottom"/>
            <w:hideMark/>
          </w:tcPr>
          <w:p w14:paraId="41DF2052"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445" w:type="dxa"/>
            <w:tcBorders>
              <w:top w:val="nil"/>
              <w:left w:val="nil"/>
              <w:bottom w:val="nil"/>
              <w:right w:val="nil"/>
            </w:tcBorders>
            <w:shd w:val="clear" w:color="auto" w:fill="auto"/>
            <w:noWrap/>
            <w:vAlign w:val="bottom"/>
            <w:hideMark/>
          </w:tcPr>
          <w:p w14:paraId="27E7B4CB"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$4,030</w:t>
            </w:r>
          </w:p>
        </w:tc>
      </w:tr>
      <w:tr w:rsidR="00E22551" w:rsidRPr="00E22551" w14:paraId="20526455" w14:textId="77777777" w:rsidTr="00E22551">
        <w:trPr>
          <w:trHeight w:val="290"/>
        </w:trPr>
        <w:tc>
          <w:tcPr>
            <w:tcW w:w="4000" w:type="dxa"/>
            <w:tcBorders>
              <w:top w:val="nil"/>
              <w:left w:val="nil"/>
              <w:bottom w:val="nil"/>
              <w:right w:val="nil"/>
            </w:tcBorders>
            <w:shd w:val="clear" w:color="auto" w:fill="auto"/>
            <w:noWrap/>
            <w:vAlign w:val="bottom"/>
            <w:hideMark/>
          </w:tcPr>
          <w:p w14:paraId="15E41CF0"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31515 Analysis</w:t>
            </w:r>
          </w:p>
        </w:tc>
        <w:tc>
          <w:tcPr>
            <w:tcW w:w="1280" w:type="dxa"/>
            <w:tcBorders>
              <w:top w:val="nil"/>
              <w:left w:val="nil"/>
              <w:bottom w:val="nil"/>
              <w:right w:val="nil"/>
            </w:tcBorders>
            <w:shd w:val="clear" w:color="auto" w:fill="auto"/>
            <w:noWrap/>
            <w:vAlign w:val="bottom"/>
            <w:hideMark/>
          </w:tcPr>
          <w:p w14:paraId="6B36CDAB"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$21,874</w:t>
            </w:r>
          </w:p>
        </w:tc>
        <w:tc>
          <w:tcPr>
            <w:tcW w:w="1340" w:type="dxa"/>
            <w:tcBorders>
              <w:top w:val="nil"/>
              <w:left w:val="nil"/>
              <w:bottom w:val="nil"/>
              <w:right w:val="nil"/>
            </w:tcBorders>
            <w:shd w:val="clear" w:color="auto" w:fill="auto"/>
            <w:noWrap/>
            <w:vAlign w:val="bottom"/>
            <w:hideMark/>
          </w:tcPr>
          <w:p w14:paraId="307D18F3"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$24,755</w:t>
            </w:r>
          </w:p>
        </w:tc>
        <w:tc>
          <w:tcPr>
            <w:tcW w:w="1445" w:type="dxa"/>
            <w:tcBorders>
              <w:top w:val="nil"/>
              <w:left w:val="nil"/>
              <w:bottom w:val="nil"/>
              <w:right w:val="nil"/>
            </w:tcBorders>
            <w:shd w:val="clear" w:color="auto" w:fill="auto"/>
            <w:noWrap/>
            <w:vAlign w:val="bottom"/>
            <w:hideMark/>
          </w:tcPr>
          <w:p w14:paraId="4A32F79F"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$15,560</w:t>
            </w:r>
          </w:p>
        </w:tc>
      </w:tr>
      <w:tr w:rsidR="00E22551" w:rsidRPr="00E22551" w14:paraId="625EFDE8" w14:textId="77777777" w:rsidTr="00E22551">
        <w:trPr>
          <w:trHeight w:val="290"/>
        </w:trPr>
        <w:tc>
          <w:tcPr>
            <w:tcW w:w="4000" w:type="dxa"/>
            <w:tcBorders>
              <w:top w:val="nil"/>
              <w:left w:val="nil"/>
              <w:bottom w:val="nil"/>
              <w:right w:val="nil"/>
            </w:tcBorders>
            <w:shd w:val="clear" w:color="auto" w:fill="auto"/>
            <w:noWrap/>
            <w:vAlign w:val="bottom"/>
            <w:hideMark/>
          </w:tcPr>
          <w:p w14:paraId="13DFD4FE"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Net Cash Flow Presentation</w:t>
            </w:r>
          </w:p>
        </w:tc>
        <w:tc>
          <w:tcPr>
            <w:tcW w:w="1280" w:type="dxa"/>
            <w:tcBorders>
              <w:top w:val="nil"/>
              <w:left w:val="nil"/>
              <w:bottom w:val="nil"/>
              <w:right w:val="nil"/>
            </w:tcBorders>
            <w:shd w:val="clear" w:color="auto" w:fill="auto"/>
            <w:noWrap/>
            <w:vAlign w:val="bottom"/>
            <w:hideMark/>
          </w:tcPr>
          <w:p w14:paraId="0CFACC06"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340" w:type="dxa"/>
            <w:tcBorders>
              <w:top w:val="nil"/>
              <w:left w:val="nil"/>
              <w:bottom w:val="nil"/>
              <w:right w:val="nil"/>
            </w:tcBorders>
            <w:shd w:val="clear" w:color="auto" w:fill="auto"/>
            <w:noWrap/>
            <w:vAlign w:val="bottom"/>
            <w:hideMark/>
          </w:tcPr>
          <w:p w14:paraId="0C71BB0E"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445" w:type="dxa"/>
            <w:tcBorders>
              <w:top w:val="nil"/>
              <w:left w:val="nil"/>
              <w:bottom w:val="nil"/>
              <w:right w:val="nil"/>
            </w:tcBorders>
            <w:shd w:val="clear" w:color="auto" w:fill="auto"/>
            <w:noWrap/>
            <w:vAlign w:val="bottom"/>
            <w:hideMark/>
          </w:tcPr>
          <w:p w14:paraId="0221B665"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$1,873</w:t>
            </w:r>
          </w:p>
        </w:tc>
      </w:tr>
      <w:tr w:rsidR="00E22551" w:rsidRPr="00E22551" w14:paraId="1FCC90AF" w14:textId="77777777" w:rsidTr="00E22551">
        <w:trPr>
          <w:trHeight w:val="290"/>
        </w:trPr>
        <w:tc>
          <w:tcPr>
            <w:tcW w:w="4000" w:type="dxa"/>
            <w:tcBorders>
              <w:top w:val="nil"/>
              <w:left w:val="nil"/>
              <w:bottom w:val="nil"/>
              <w:right w:val="nil"/>
            </w:tcBorders>
            <w:shd w:val="clear" w:color="auto" w:fill="auto"/>
            <w:noWrap/>
            <w:vAlign w:val="bottom"/>
            <w:hideMark/>
          </w:tcPr>
          <w:p w14:paraId="713F967B"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Other</w:t>
            </w:r>
          </w:p>
        </w:tc>
        <w:tc>
          <w:tcPr>
            <w:tcW w:w="1280" w:type="dxa"/>
            <w:tcBorders>
              <w:top w:val="nil"/>
              <w:left w:val="nil"/>
              <w:bottom w:val="nil"/>
              <w:right w:val="nil"/>
            </w:tcBorders>
            <w:shd w:val="clear" w:color="auto" w:fill="auto"/>
            <w:noWrap/>
            <w:vAlign w:val="bottom"/>
            <w:hideMark/>
          </w:tcPr>
          <w:p w14:paraId="2F7CDE6D"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$16,461</w:t>
            </w:r>
          </w:p>
        </w:tc>
        <w:tc>
          <w:tcPr>
            <w:tcW w:w="1340" w:type="dxa"/>
            <w:tcBorders>
              <w:top w:val="nil"/>
              <w:left w:val="nil"/>
              <w:bottom w:val="nil"/>
              <w:right w:val="nil"/>
            </w:tcBorders>
            <w:shd w:val="clear" w:color="auto" w:fill="auto"/>
            <w:noWrap/>
            <w:vAlign w:val="bottom"/>
            <w:hideMark/>
          </w:tcPr>
          <w:p w14:paraId="646DCB3F"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$20,765</w:t>
            </w:r>
          </w:p>
        </w:tc>
        <w:tc>
          <w:tcPr>
            <w:tcW w:w="1445" w:type="dxa"/>
            <w:tcBorders>
              <w:top w:val="nil"/>
              <w:left w:val="nil"/>
              <w:bottom w:val="nil"/>
              <w:right w:val="nil"/>
            </w:tcBorders>
            <w:shd w:val="clear" w:color="auto" w:fill="auto"/>
            <w:noWrap/>
            <w:vAlign w:val="bottom"/>
            <w:hideMark/>
          </w:tcPr>
          <w:p w14:paraId="631B0CF2"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$8,143</w:t>
            </w:r>
          </w:p>
        </w:tc>
      </w:tr>
      <w:tr w:rsidR="00E22551" w:rsidRPr="00E22551" w14:paraId="437C620D" w14:textId="77777777" w:rsidTr="00E22551">
        <w:trPr>
          <w:trHeight w:val="290"/>
        </w:trPr>
        <w:tc>
          <w:tcPr>
            <w:tcW w:w="4000" w:type="dxa"/>
            <w:tcBorders>
              <w:top w:val="nil"/>
              <w:left w:val="nil"/>
              <w:bottom w:val="nil"/>
              <w:right w:val="nil"/>
            </w:tcBorders>
            <w:shd w:val="clear" w:color="auto" w:fill="auto"/>
            <w:noWrap/>
            <w:vAlign w:val="bottom"/>
            <w:hideMark/>
          </w:tcPr>
          <w:p w14:paraId="05D74B37" w14:textId="77777777" w:rsidR="00E22551" w:rsidRPr="00E22551" w:rsidRDefault="00E22551" w:rsidP="00E22551">
            <w:pPr>
              <w:spacing w:after="0" w:line="240" w:lineRule="auto"/>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 xml:space="preserve">  Asset Liability Study</w:t>
            </w:r>
          </w:p>
        </w:tc>
        <w:tc>
          <w:tcPr>
            <w:tcW w:w="1280" w:type="dxa"/>
            <w:tcBorders>
              <w:top w:val="nil"/>
              <w:left w:val="nil"/>
              <w:bottom w:val="nil"/>
              <w:right w:val="nil"/>
            </w:tcBorders>
            <w:shd w:val="clear" w:color="auto" w:fill="auto"/>
            <w:noWrap/>
            <w:vAlign w:val="bottom"/>
            <w:hideMark/>
          </w:tcPr>
          <w:p w14:paraId="2F6D34F4"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$10,678</w:t>
            </w:r>
          </w:p>
        </w:tc>
        <w:tc>
          <w:tcPr>
            <w:tcW w:w="1340" w:type="dxa"/>
            <w:tcBorders>
              <w:top w:val="nil"/>
              <w:left w:val="nil"/>
              <w:bottom w:val="nil"/>
              <w:right w:val="nil"/>
            </w:tcBorders>
            <w:shd w:val="clear" w:color="auto" w:fill="auto"/>
            <w:noWrap/>
            <w:vAlign w:val="bottom"/>
            <w:hideMark/>
          </w:tcPr>
          <w:p w14:paraId="0B95426B"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c>
          <w:tcPr>
            <w:tcW w:w="1445" w:type="dxa"/>
            <w:tcBorders>
              <w:top w:val="nil"/>
              <w:left w:val="nil"/>
              <w:bottom w:val="nil"/>
              <w:right w:val="nil"/>
            </w:tcBorders>
            <w:shd w:val="clear" w:color="auto" w:fill="auto"/>
            <w:noWrap/>
            <w:vAlign w:val="bottom"/>
            <w:hideMark/>
          </w:tcPr>
          <w:p w14:paraId="7821CB2C" w14:textId="77777777" w:rsidR="00E22551" w:rsidRPr="00E22551" w:rsidRDefault="00E22551" w:rsidP="00E22551">
            <w:pPr>
              <w:spacing w:after="0" w:line="240" w:lineRule="auto"/>
              <w:jc w:val="right"/>
              <w:rPr>
                <w:rFonts w:ascii="Aptos Narrow" w:eastAsia="Times New Roman" w:hAnsi="Aptos Narrow" w:cs="Times New Roman"/>
                <w:color w:val="000000"/>
                <w:kern w:val="0"/>
                <w:sz w:val="22"/>
                <w:szCs w:val="22"/>
                <w14:ligatures w14:val="none"/>
              </w:rPr>
            </w:pPr>
            <w:r w:rsidRPr="00E22551">
              <w:rPr>
                <w:rFonts w:ascii="Aptos Narrow" w:eastAsia="Times New Roman" w:hAnsi="Aptos Narrow" w:cs="Times New Roman"/>
                <w:color w:val="000000"/>
                <w:kern w:val="0"/>
                <w:sz w:val="22"/>
                <w:szCs w:val="22"/>
                <w14:ligatures w14:val="none"/>
              </w:rPr>
              <w:t>$0</w:t>
            </w:r>
          </w:p>
        </w:tc>
      </w:tr>
    </w:tbl>
    <w:p w14:paraId="7948931D" w14:textId="6DFE79F9" w:rsidR="005A62BC" w:rsidRDefault="005A62BC" w:rsidP="00FB346D">
      <w:pPr>
        <w:ind w:firstLine="720"/>
        <w:jc w:val="both"/>
        <w:rPr>
          <w:rFonts w:ascii="Arial" w:hAnsi="Arial" w:cs="Arial"/>
          <w:b/>
          <w:bCs/>
          <w:kern w:val="0"/>
        </w:rPr>
      </w:pPr>
    </w:p>
    <w:p w14:paraId="7C7924E4" w14:textId="77777777" w:rsidR="005A62BC" w:rsidRPr="000B52AC" w:rsidRDefault="005A62BC" w:rsidP="00FB346D">
      <w:pPr>
        <w:ind w:firstLine="720"/>
        <w:jc w:val="both"/>
        <w:rPr>
          <w:rFonts w:ascii="Arial" w:hAnsi="Arial" w:cs="Arial"/>
          <w:b/>
          <w:bCs/>
        </w:rPr>
      </w:pPr>
    </w:p>
    <w:sectPr w:rsidR="005A62BC" w:rsidRPr="000B52AC" w:rsidSect="00E56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7F1"/>
    <w:multiLevelType w:val="hybridMultilevel"/>
    <w:tmpl w:val="5F4C50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722E88"/>
    <w:multiLevelType w:val="hybridMultilevel"/>
    <w:tmpl w:val="D4E63A86"/>
    <w:lvl w:ilvl="0" w:tplc="8384E40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778951">
    <w:abstractNumId w:val="0"/>
  </w:num>
  <w:num w:numId="2" w16cid:durableId="112951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60"/>
    <w:rsid w:val="00031010"/>
    <w:rsid w:val="00035D60"/>
    <w:rsid w:val="000B52AC"/>
    <w:rsid w:val="000E4689"/>
    <w:rsid w:val="001D4BAF"/>
    <w:rsid w:val="00210D79"/>
    <w:rsid w:val="00361D44"/>
    <w:rsid w:val="003F06A4"/>
    <w:rsid w:val="00572A5D"/>
    <w:rsid w:val="00580CF7"/>
    <w:rsid w:val="005A62BC"/>
    <w:rsid w:val="005B30A6"/>
    <w:rsid w:val="005B6A1D"/>
    <w:rsid w:val="005C352C"/>
    <w:rsid w:val="005E07D3"/>
    <w:rsid w:val="00636990"/>
    <w:rsid w:val="006766C5"/>
    <w:rsid w:val="006D2863"/>
    <w:rsid w:val="00715B00"/>
    <w:rsid w:val="007F73E1"/>
    <w:rsid w:val="009970E0"/>
    <w:rsid w:val="00A03DFF"/>
    <w:rsid w:val="00A532C8"/>
    <w:rsid w:val="00A6177A"/>
    <w:rsid w:val="00AF26D2"/>
    <w:rsid w:val="00B70F2E"/>
    <w:rsid w:val="00C04E88"/>
    <w:rsid w:val="00DC3B4E"/>
    <w:rsid w:val="00E22551"/>
    <w:rsid w:val="00E56E48"/>
    <w:rsid w:val="00E72E09"/>
    <w:rsid w:val="00EB47D8"/>
    <w:rsid w:val="00EE39EC"/>
    <w:rsid w:val="00EE5781"/>
    <w:rsid w:val="00F05DC3"/>
    <w:rsid w:val="00F76557"/>
    <w:rsid w:val="00FB346D"/>
    <w:rsid w:val="00FE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A852"/>
  <w15:chartTrackingRefBased/>
  <w15:docId w15:val="{CE5B1014-B351-45EB-A3AC-C27CF375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D60"/>
    <w:rPr>
      <w:rFonts w:eastAsiaTheme="majorEastAsia" w:cstheme="majorBidi"/>
      <w:color w:val="272727" w:themeColor="text1" w:themeTint="D8"/>
    </w:rPr>
  </w:style>
  <w:style w:type="paragraph" w:styleId="Title">
    <w:name w:val="Title"/>
    <w:basedOn w:val="Normal"/>
    <w:next w:val="Normal"/>
    <w:link w:val="TitleChar"/>
    <w:uiPriority w:val="10"/>
    <w:qFormat/>
    <w:rsid w:val="00035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D60"/>
    <w:pPr>
      <w:spacing w:before="160"/>
      <w:jc w:val="center"/>
    </w:pPr>
    <w:rPr>
      <w:i/>
      <w:iCs/>
      <w:color w:val="404040" w:themeColor="text1" w:themeTint="BF"/>
    </w:rPr>
  </w:style>
  <w:style w:type="character" w:customStyle="1" w:styleId="QuoteChar">
    <w:name w:val="Quote Char"/>
    <w:basedOn w:val="DefaultParagraphFont"/>
    <w:link w:val="Quote"/>
    <w:uiPriority w:val="29"/>
    <w:rsid w:val="00035D60"/>
    <w:rPr>
      <w:i/>
      <w:iCs/>
      <w:color w:val="404040" w:themeColor="text1" w:themeTint="BF"/>
    </w:rPr>
  </w:style>
  <w:style w:type="paragraph" w:styleId="ListParagraph">
    <w:name w:val="List Paragraph"/>
    <w:basedOn w:val="Normal"/>
    <w:uiPriority w:val="34"/>
    <w:qFormat/>
    <w:rsid w:val="00035D60"/>
    <w:pPr>
      <w:ind w:left="720"/>
      <w:contextualSpacing/>
    </w:pPr>
  </w:style>
  <w:style w:type="character" w:styleId="IntenseEmphasis">
    <w:name w:val="Intense Emphasis"/>
    <w:basedOn w:val="DefaultParagraphFont"/>
    <w:uiPriority w:val="21"/>
    <w:qFormat/>
    <w:rsid w:val="00035D60"/>
    <w:rPr>
      <w:i/>
      <w:iCs/>
      <w:color w:val="0F4761" w:themeColor="accent1" w:themeShade="BF"/>
    </w:rPr>
  </w:style>
  <w:style w:type="paragraph" w:styleId="IntenseQuote">
    <w:name w:val="Intense Quote"/>
    <w:basedOn w:val="Normal"/>
    <w:next w:val="Normal"/>
    <w:link w:val="IntenseQuoteChar"/>
    <w:uiPriority w:val="30"/>
    <w:qFormat/>
    <w:rsid w:val="00035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D60"/>
    <w:rPr>
      <w:i/>
      <w:iCs/>
      <w:color w:val="0F4761" w:themeColor="accent1" w:themeShade="BF"/>
    </w:rPr>
  </w:style>
  <w:style w:type="character" w:styleId="IntenseReference">
    <w:name w:val="Intense Reference"/>
    <w:basedOn w:val="DefaultParagraphFont"/>
    <w:uiPriority w:val="32"/>
    <w:qFormat/>
    <w:rsid w:val="00035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746479">
      <w:bodyDiv w:val="1"/>
      <w:marLeft w:val="0"/>
      <w:marRight w:val="0"/>
      <w:marTop w:val="0"/>
      <w:marBottom w:val="0"/>
      <w:divBdr>
        <w:top w:val="none" w:sz="0" w:space="0" w:color="auto"/>
        <w:left w:val="none" w:sz="0" w:space="0" w:color="auto"/>
        <w:bottom w:val="none" w:sz="0" w:space="0" w:color="auto"/>
        <w:right w:val="none" w:sz="0" w:space="0" w:color="auto"/>
      </w:divBdr>
    </w:div>
    <w:div w:id="18852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Greg [SJCERA]</dc:creator>
  <cp:keywords/>
  <dc:description/>
  <cp:lastModifiedBy>Frank, Greg [SJCERA]</cp:lastModifiedBy>
  <cp:revision>16</cp:revision>
  <cp:lastPrinted>2025-06-04T22:20:00Z</cp:lastPrinted>
  <dcterms:created xsi:type="dcterms:W3CDTF">2025-05-30T20:22:00Z</dcterms:created>
  <dcterms:modified xsi:type="dcterms:W3CDTF">2025-06-04T22:40:00Z</dcterms:modified>
</cp:coreProperties>
</file>